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62" w:type="pct"/>
        <w:tblBorders>
          <w:insideH w:val="nil"/>
          <w:insideV w:val="nil"/>
        </w:tblBorders>
        <w:tblCellMar>
          <w:left w:w="0" w:type="dxa"/>
          <w:right w:w="0" w:type="dxa"/>
        </w:tblCellMar>
        <w:tblLook w:val="04A0" w:firstRow="1" w:lastRow="0" w:firstColumn="1" w:lastColumn="0" w:noHBand="0" w:noVBand="1"/>
      </w:tblPr>
      <w:tblGrid>
        <w:gridCol w:w="5670"/>
        <w:gridCol w:w="9301"/>
      </w:tblGrid>
      <w:tr w:rsidR="002F282B" w:rsidRPr="00D45B27" w14:paraId="7F746C7A" w14:textId="77777777" w:rsidTr="0017430A">
        <w:trPr>
          <w:trHeight w:val="920"/>
        </w:trPr>
        <w:tc>
          <w:tcPr>
            <w:tcW w:w="5670" w:type="dxa"/>
            <w:tcMar>
              <w:top w:w="0" w:type="dxa"/>
              <w:left w:w="108" w:type="dxa"/>
              <w:bottom w:w="0" w:type="dxa"/>
              <w:right w:w="108" w:type="dxa"/>
            </w:tcMar>
            <w:hideMark/>
          </w:tcPr>
          <w:p w14:paraId="6324074B" w14:textId="1065AE1D" w:rsidR="002F282B" w:rsidRPr="00EA39AF" w:rsidRDefault="001876E0" w:rsidP="00BD7298">
            <w:pPr>
              <w:jc w:val="center"/>
              <w:rPr>
                <w:b/>
                <w:i/>
                <w:iCs/>
                <w:color w:val="000000" w:themeColor="text1"/>
                <w:sz w:val="26"/>
                <w:szCs w:val="26"/>
              </w:rPr>
            </w:pPr>
            <w:r w:rsidRPr="00EA39AF">
              <w:rPr>
                <w:b/>
                <w:color w:val="000000" w:themeColor="text1"/>
                <w:sz w:val="26"/>
                <w:szCs w:val="26"/>
              </w:rPr>
              <w:t>BỘ TÀI CHÍNH</w:t>
            </w:r>
          </w:p>
          <w:p w14:paraId="7838AA79" w14:textId="77777777" w:rsidR="002F282B" w:rsidRPr="00D45B27" w:rsidRDefault="002F282B" w:rsidP="00BD7298">
            <w:pPr>
              <w:jc w:val="center"/>
              <w:rPr>
                <w:color w:val="000000" w:themeColor="text1"/>
                <w:sz w:val="20"/>
                <w:szCs w:val="20"/>
              </w:rPr>
            </w:pPr>
            <w:r w:rsidRPr="00D45B27">
              <w:rPr>
                <w:color w:val="000000" w:themeColor="text1"/>
                <w:sz w:val="20"/>
                <w:szCs w:val="20"/>
                <w:vertAlign w:val="superscript"/>
              </w:rPr>
              <w:t>________</w:t>
            </w:r>
          </w:p>
        </w:tc>
        <w:tc>
          <w:tcPr>
            <w:tcW w:w="9300" w:type="dxa"/>
            <w:tcMar>
              <w:top w:w="0" w:type="dxa"/>
              <w:left w:w="108" w:type="dxa"/>
              <w:bottom w:w="0" w:type="dxa"/>
              <w:right w:w="108" w:type="dxa"/>
            </w:tcMar>
            <w:hideMark/>
          </w:tcPr>
          <w:p w14:paraId="30F0E92E" w14:textId="77777777" w:rsidR="002F282B" w:rsidRPr="00D45B27" w:rsidRDefault="002F282B" w:rsidP="00BD7298">
            <w:pPr>
              <w:jc w:val="center"/>
              <w:rPr>
                <w:color w:val="000000" w:themeColor="text1"/>
                <w:sz w:val="20"/>
                <w:szCs w:val="20"/>
              </w:rPr>
            </w:pPr>
            <w:r w:rsidRPr="00EA39AF">
              <w:rPr>
                <w:b/>
                <w:bCs/>
                <w:color w:val="000000" w:themeColor="text1"/>
                <w:sz w:val="26"/>
                <w:szCs w:val="26"/>
              </w:rPr>
              <w:t>CỘNG HÒA XÃ HỘI CHỦ NGHĨA VIỆT NAM</w:t>
            </w:r>
            <w:r w:rsidRPr="00EA39AF">
              <w:rPr>
                <w:b/>
                <w:bCs/>
                <w:color w:val="000000" w:themeColor="text1"/>
                <w:sz w:val="26"/>
                <w:szCs w:val="26"/>
              </w:rPr>
              <w:br/>
            </w:r>
            <w:r w:rsidRPr="00EA39AF">
              <w:rPr>
                <w:b/>
                <w:bCs/>
                <w:color w:val="000000" w:themeColor="text1"/>
                <w:sz w:val="28"/>
                <w:szCs w:val="28"/>
              </w:rPr>
              <w:t>Độc lập - Tự do - Hạnh phúc</w:t>
            </w:r>
            <w:r w:rsidRPr="00D45B27">
              <w:rPr>
                <w:b/>
                <w:bCs/>
                <w:color w:val="000000" w:themeColor="text1"/>
                <w:sz w:val="20"/>
                <w:szCs w:val="20"/>
              </w:rPr>
              <w:t xml:space="preserve"> </w:t>
            </w:r>
            <w:r w:rsidRPr="00D45B27">
              <w:rPr>
                <w:b/>
                <w:bCs/>
                <w:color w:val="000000" w:themeColor="text1"/>
                <w:sz w:val="20"/>
                <w:szCs w:val="20"/>
              </w:rPr>
              <w:br/>
            </w:r>
            <w:r w:rsidRPr="00D45B27">
              <w:rPr>
                <w:color w:val="000000" w:themeColor="text1"/>
                <w:sz w:val="20"/>
                <w:szCs w:val="20"/>
                <w:vertAlign w:val="superscript"/>
              </w:rPr>
              <w:t>________________________</w:t>
            </w:r>
          </w:p>
          <w:p w14:paraId="252E620E" w14:textId="30BB6485" w:rsidR="002F282B" w:rsidRPr="00EA39AF" w:rsidRDefault="00916644" w:rsidP="00BD7298">
            <w:pPr>
              <w:jc w:val="center"/>
              <w:rPr>
                <w:color w:val="000000" w:themeColor="text1"/>
                <w:sz w:val="28"/>
                <w:szCs w:val="28"/>
              </w:rPr>
            </w:pPr>
            <w:r w:rsidRPr="00EA39AF">
              <w:rPr>
                <w:i/>
                <w:iCs/>
                <w:color w:val="000000" w:themeColor="text1"/>
                <w:sz w:val="28"/>
                <w:szCs w:val="28"/>
              </w:rPr>
              <w:t>Hà Nội</w:t>
            </w:r>
            <w:r w:rsidR="002F282B" w:rsidRPr="00EA39AF">
              <w:rPr>
                <w:i/>
                <w:iCs/>
                <w:color w:val="000000" w:themeColor="text1"/>
                <w:sz w:val="28"/>
                <w:szCs w:val="28"/>
              </w:rPr>
              <w:t>, ngày</w:t>
            </w:r>
            <w:r w:rsidR="001876E0" w:rsidRPr="00EA39AF">
              <w:rPr>
                <w:i/>
                <w:iCs/>
                <w:color w:val="000000" w:themeColor="text1"/>
                <w:sz w:val="28"/>
                <w:szCs w:val="28"/>
              </w:rPr>
              <w:t xml:space="preserve">        </w:t>
            </w:r>
            <w:r w:rsidR="002F282B" w:rsidRPr="00EA39AF">
              <w:rPr>
                <w:i/>
                <w:iCs/>
                <w:color w:val="000000" w:themeColor="text1"/>
                <w:sz w:val="28"/>
                <w:szCs w:val="28"/>
              </w:rPr>
              <w:t xml:space="preserve"> tháng</w:t>
            </w:r>
            <w:r w:rsidRPr="00EA39AF">
              <w:rPr>
                <w:i/>
                <w:iCs/>
                <w:color w:val="000000" w:themeColor="text1"/>
                <w:sz w:val="28"/>
                <w:szCs w:val="28"/>
              </w:rPr>
              <w:t xml:space="preserve"> </w:t>
            </w:r>
            <w:r w:rsidR="001876E0" w:rsidRPr="00EA39AF">
              <w:rPr>
                <w:i/>
                <w:iCs/>
                <w:color w:val="000000" w:themeColor="text1"/>
                <w:sz w:val="28"/>
                <w:szCs w:val="28"/>
              </w:rPr>
              <w:t xml:space="preserve">     </w:t>
            </w:r>
            <w:r w:rsidR="002F282B" w:rsidRPr="00EA39AF">
              <w:rPr>
                <w:i/>
                <w:iCs/>
                <w:color w:val="000000" w:themeColor="text1"/>
                <w:sz w:val="28"/>
                <w:szCs w:val="28"/>
              </w:rPr>
              <w:t xml:space="preserve"> năm </w:t>
            </w:r>
            <w:r w:rsidRPr="00EA39AF">
              <w:rPr>
                <w:i/>
                <w:iCs/>
                <w:color w:val="000000" w:themeColor="text1"/>
                <w:sz w:val="28"/>
                <w:szCs w:val="28"/>
              </w:rPr>
              <w:t>2025</w:t>
            </w:r>
          </w:p>
        </w:tc>
      </w:tr>
    </w:tbl>
    <w:p w14:paraId="307289C5" w14:textId="77777777" w:rsidR="002F282B" w:rsidRPr="00D45B27" w:rsidRDefault="002F282B" w:rsidP="002F282B">
      <w:pPr>
        <w:jc w:val="center"/>
        <w:rPr>
          <w:b/>
          <w:bCs/>
          <w:color w:val="000000" w:themeColor="text1"/>
          <w:sz w:val="20"/>
          <w:szCs w:val="20"/>
        </w:rPr>
      </w:pPr>
    </w:p>
    <w:p w14:paraId="351C1160" w14:textId="77777777" w:rsidR="002F282B" w:rsidRPr="00D45B27" w:rsidRDefault="002F282B" w:rsidP="002F282B">
      <w:pPr>
        <w:jc w:val="center"/>
        <w:rPr>
          <w:b/>
          <w:bCs/>
          <w:color w:val="000000" w:themeColor="text1"/>
          <w:sz w:val="20"/>
          <w:szCs w:val="20"/>
        </w:rPr>
      </w:pPr>
    </w:p>
    <w:p w14:paraId="10D35C4E" w14:textId="495E63D8" w:rsidR="002F282B" w:rsidRDefault="00224484" w:rsidP="002F282B">
      <w:pPr>
        <w:jc w:val="center"/>
        <w:rPr>
          <w:b/>
          <w:bCs/>
          <w:color w:val="000000" w:themeColor="text1"/>
          <w:sz w:val="28"/>
          <w:szCs w:val="28"/>
        </w:rPr>
      </w:pPr>
      <w:r w:rsidRPr="00EA39AF">
        <w:rPr>
          <w:b/>
          <w:bCs/>
          <w:color w:val="000000" w:themeColor="text1"/>
          <w:sz w:val="28"/>
          <w:szCs w:val="28"/>
        </w:rPr>
        <w:t xml:space="preserve">BẢN TỔNG HỢP Ý KIẾN, TIẾP THU, GIẢI TRÌNH Ý KIẾN GÓP Ý ĐỐI VỚI HỒ SƠ DỰ THẢO NGHỊ </w:t>
      </w:r>
      <w:r w:rsidR="001876E0" w:rsidRPr="00EA39AF">
        <w:rPr>
          <w:b/>
          <w:bCs/>
          <w:color w:val="000000" w:themeColor="text1"/>
          <w:sz w:val="28"/>
          <w:szCs w:val="28"/>
        </w:rPr>
        <w:t>SỬA ĐỔI, BỔ SUNG NGHỊ QUYẾT 107/2023/QH15 NGÀY 29/11/2023 CỦA QUỐC HỘI VỀ VIỆC ÁP DỤNG THUẾ THU NHẬP DOANH NGHIỆP BỔ SUNG THEO QUY ĐỊNH CHỐNG XÓI MÒN CƠ SỞ THUẾ TOÀN CẦU</w:t>
      </w:r>
    </w:p>
    <w:p w14:paraId="452922B8" w14:textId="04E0D81B" w:rsidR="00CC76FD" w:rsidRPr="00CC76FD" w:rsidRDefault="00CC76FD" w:rsidP="002F282B">
      <w:pPr>
        <w:jc w:val="center"/>
        <w:rPr>
          <w:i/>
          <w:iCs/>
          <w:color w:val="000000" w:themeColor="text1"/>
          <w:sz w:val="28"/>
          <w:szCs w:val="28"/>
        </w:rPr>
      </w:pPr>
      <w:r w:rsidRPr="00CC76FD">
        <w:rPr>
          <w:i/>
          <w:iCs/>
          <w:color w:val="000000" w:themeColor="text1"/>
          <w:sz w:val="28"/>
          <w:szCs w:val="28"/>
        </w:rPr>
        <w:t>(Kèm theo Tờ trình số          /TTr-BTC ngày        /         /2025 của Bộ Tài chính)</w:t>
      </w:r>
    </w:p>
    <w:p w14:paraId="1788DA4E" w14:textId="77777777" w:rsidR="002F282B" w:rsidRPr="00EA39AF" w:rsidRDefault="002F282B" w:rsidP="002F282B">
      <w:pPr>
        <w:jc w:val="center"/>
        <w:rPr>
          <w:color w:val="000000" w:themeColor="text1"/>
          <w:sz w:val="28"/>
          <w:szCs w:val="28"/>
        </w:rPr>
      </w:pPr>
      <w:r w:rsidRPr="00EA39AF">
        <w:rPr>
          <w:color w:val="000000" w:themeColor="text1"/>
          <w:sz w:val="28"/>
          <w:szCs w:val="28"/>
          <w:vertAlign w:val="superscript"/>
        </w:rPr>
        <w:t>________</w:t>
      </w:r>
    </w:p>
    <w:p w14:paraId="782B9E20" w14:textId="77777777" w:rsidR="002F282B" w:rsidRPr="00EA39AF" w:rsidRDefault="002F282B" w:rsidP="002F282B">
      <w:pPr>
        <w:rPr>
          <w:b/>
          <w:bCs/>
          <w:color w:val="000000" w:themeColor="text1"/>
          <w:sz w:val="28"/>
          <w:szCs w:val="28"/>
        </w:rPr>
      </w:pPr>
    </w:p>
    <w:p w14:paraId="1CED4180" w14:textId="747B880C" w:rsidR="00690422" w:rsidRDefault="002F282B" w:rsidP="00690422">
      <w:pPr>
        <w:spacing w:after="120"/>
        <w:ind w:firstLine="720"/>
        <w:jc w:val="both"/>
        <w:rPr>
          <w:color w:val="000000" w:themeColor="text1"/>
          <w:sz w:val="28"/>
          <w:szCs w:val="28"/>
        </w:rPr>
      </w:pPr>
      <w:r w:rsidRPr="00EA39AF">
        <w:rPr>
          <w:color w:val="000000" w:themeColor="text1"/>
          <w:sz w:val="28"/>
          <w:szCs w:val="28"/>
        </w:rPr>
        <w:t xml:space="preserve">Căn cứ Luật Ban hành văn bản quy phạm pháp luật, Bộ </w:t>
      </w:r>
      <w:r w:rsidR="001876E0" w:rsidRPr="00EA39AF">
        <w:rPr>
          <w:color w:val="000000" w:themeColor="text1"/>
          <w:sz w:val="28"/>
          <w:szCs w:val="28"/>
        </w:rPr>
        <w:t>Tài chính</w:t>
      </w:r>
      <w:r w:rsidRPr="00EA39AF">
        <w:rPr>
          <w:color w:val="000000" w:themeColor="text1"/>
          <w:sz w:val="28"/>
          <w:szCs w:val="28"/>
        </w:rPr>
        <w:t xml:space="preserve"> đã tổ chức lấy ý kiến đối với hồ sơ dự thảo </w:t>
      </w:r>
      <w:r w:rsidR="001876E0" w:rsidRPr="00EA39AF">
        <w:rPr>
          <w:color w:val="000000" w:themeColor="text1"/>
          <w:sz w:val="28"/>
          <w:szCs w:val="28"/>
        </w:rPr>
        <w:t>Nghị quyết sửa đổi, bổ sung Nghị quyết 107/2023/QH15 ngày 29/11/2023 của Quốc hội về việc áp dụng thuế thu nhập doanh nghiệp bổ sung theo quy định chống xói mòn cơ sở thuế toàn cầu</w:t>
      </w:r>
      <w:r w:rsidR="00690422">
        <w:rPr>
          <w:color w:val="000000" w:themeColor="text1"/>
          <w:sz w:val="28"/>
          <w:szCs w:val="28"/>
        </w:rPr>
        <w:t xml:space="preserve"> (sau đây gọi là dự thảo Nghị quyết)</w:t>
      </w:r>
      <w:r w:rsidR="00424ECB" w:rsidRPr="00EA39AF">
        <w:rPr>
          <w:color w:val="000000" w:themeColor="text1"/>
          <w:sz w:val="28"/>
          <w:szCs w:val="28"/>
        </w:rPr>
        <w:t>.</w:t>
      </w:r>
    </w:p>
    <w:p w14:paraId="499F5298" w14:textId="77777777" w:rsidR="00690422" w:rsidRPr="009E4C74" w:rsidRDefault="00690422" w:rsidP="00690422">
      <w:pPr>
        <w:spacing w:after="120"/>
        <w:ind w:firstLine="720"/>
        <w:jc w:val="both"/>
        <w:rPr>
          <w:b/>
          <w:bCs/>
          <w:color w:val="000000" w:themeColor="text1"/>
          <w:sz w:val="28"/>
          <w:szCs w:val="28"/>
        </w:rPr>
      </w:pPr>
      <w:r w:rsidRPr="009E4C74">
        <w:rPr>
          <w:b/>
          <w:bCs/>
          <w:color w:val="000000" w:themeColor="text1"/>
          <w:sz w:val="28"/>
          <w:szCs w:val="28"/>
        </w:rPr>
        <w:t>1. Tổng số cơ quan, tổ chức, cá nhân đã gửi xin ý kiến và tổng số ý kiến nhận được:</w:t>
      </w:r>
    </w:p>
    <w:p w14:paraId="07F1B845" w14:textId="4D984232" w:rsidR="006B47B2" w:rsidRPr="009E4C74" w:rsidRDefault="00690422" w:rsidP="009E4C74">
      <w:pPr>
        <w:spacing w:after="120"/>
        <w:ind w:firstLine="720"/>
        <w:jc w:val="both"/>
        <w:rPr>
          <w:color w:val="000000" w:themeColor="text1"/>
          <w:sz w:val="28"/>
          <w:szCs w:val="28"/>
        </w:rPr>
      </w:pPr>
      <w:r w:rsidRPr="00690422">
        <w:rPr>
          <w:color w:val="000000" w:themeColor="text1"/>
          <w:sz w:val="28"/>
          <w:szCs w:val="28"/>
        </w:rPr>
        <w:t xml:space="preserve">Ngày 7/9/2025, Bộ Tài chính có công văn số 13841/BTC-CT gửi các Bộ, cơ quan ngang Bộ; cơ quan </w:t>
      </w:r>
      <w:r w:rsidR="001876E0" w:rsidRPr="00690422">
        <w:rPr>
          <w:color w:val="000000" w:themeColor="text1"/>
          <w:sz w:val="28"/>
          <w:szCs w:val="28"/>
        </w:rPr>
        <w:t xml:space="preserve">thuộc Chính phủ; </w:t>
      </w:r>
      <w:r w:rsidR="00424ECB" w:rsidRPr="00690422">
        <w:rPr>
          <w:color w:val="000000" w:themeColor="text1"/>
          <w:sz w:val="28"/>
          <w:szCs w:val="28"/>
        </w:rPr>
        <w:t xml:space="preserve"> </w:t>
      </w:r>
      <w:r w:rsidR="003A2764" w:rsidRPr="00690422">
        <w:rPr>
          <w:color w:val="000000" w:themeColor="text1"/>
          <w:sz w:val="28"/>
          <w:szCs w:val="28"/>
        </w:rPr>
        <w:t xml:space="preserve">Uỷ ban Trung ương Mặt trận Tổ quốc Việt Nam; </w:t>
      </w:r>
      <w:r w:rsidR="001876E0" w:rsidRPr="00690422">
        <w:rPr>
          <w:color w:val="000000" w:themeColor="text1"/>
          <w:sz w:val="28"/>
          <w:szCs w:val="28"/>
        </w:rPr>
        <w:t>Ủy ban nhân dân các tỉnh, thành phố trực thuộc Trung ương</w:t>
      </w:r>
      <w:r w:rsidR="003A2764" w:rsidRPr="00690422">
        <w:rPr>
          <w:color w:val="000000" w:themeColor="text1"/>
          <w:sz w:val="28"/>
          <w:szCs w:val="28"/>
        </w:rPr>
        <w:t>; Liên đoàn Thương mại và Công nghiệp Việt Nam</w:t>
      </w:r>
      <w:r w:rsidR="001876E0" w:rsidRPr="00690422">
        <w:rPr>
          <w:color w:val="000000" w:themeColor="text1"/>
          <w:sz w:val="28"/>
          <w:szCs w:val="28"/>
        </w:rPr>
        <w:t>; đăng tải trên Cổng TTĐT Chính phủ và Cổng TTĐT Bộ Tài chính để lấy ý kiến rộng rãi</w:t>
      </w:r>
      <w:r>
        <w:rPr>
          <w:color w:val="000000" w:themeColor="text1"/>
          <w:sz w:val="28"/>
          <w:szCs w:val="28"/>
        </w:rPr>
        <w:t xml:space="preserve"> các đối tượng chịu sự tác động trực tiếp của dự thảo Nghị quyết. </w:t>
      </w:r>
      <w:r w:rsidR="007C5A9C">
        <w:rPr>
          <w:color w:val="000000" w:themeColor="text1"/>
          <w:sz w:val="28"/>
          <w:szCs w:val="28"/>
        </w:rPr>
        <w:t>Đến ngày 18/9/2025</w:t>
      </w:r>
      <w:r w:rsidR="009E4C74">
        <w:rPr>
          <w:color w:val="000000" w:themeColor="text1"/>
          <w:sz w:val="28"/>
          <w:szCs w:val="28"/>
        </w:rPr>
        <w:t xml:space="preserve">, Bộ Tài chính đã nhận được ý kiến của </w:t>
      </w:r>
      <w:r w:rsidR="003E5131">
        <w:rPr>
          <w:color w:val="000000" w:themeColor="text1"/>
          <w:sz w:val="28"/>
          <w:szCs w:val="28"/>
        </w:rPr>
        <w:t>28 đơn vị.</w:t>
      </w:r>
    </w:p>
    <w:p w14:paraId="3534195C" w14:textId="6C9DF402" w:rsidR="002F282B" w:rsidRPr="002E4684" w:rsidRDefault="002F282B" w:rsidP="002F282B">
      <w:pPr>
        <w:spacing w:after="120"/>
        <w:ind w:firstLine="720"/>
        <w:jc w:val="both"/>
        <w:rPr>
          <w:b/>
          <w:bCs/>
          <w:color w:val="000000" w:themeColor="text1"/>
          <w:sz w:val="28"/>
          <w:szCs w:val="28"/>
        </w:rPr>
      </w:pPr>
      <w:r w:rsidRPr="002E4684">
        <w:rPr>
          <w:b/>
          <w:bCs/>
          <w:color w:val="000000" w:themeColor="text1"/>
          <w:sz w:val="28"/>
          <w:szCs w:val="28"/>
        </w:rPr>
        <w:t>2. Kết quả cụ thể như sau:</w:t>
      </w:r>
    </w:p>
    <w:p w14:paraId="02A6E5EB" w14:textId="52449BD1" w:rsidR="009E4C74" w:rsidRDefault="009E4C74" w:rsidP="002F282B">
      <w:pPr>
        <w:spacing w:after="120"/>
        <w:ind w:firstLine="720"/>
        <w:jc w:val="both"/>
        <w:rPr>
          <w:color w:val="000000" w:themeColor="text1"/>
          <w:sz w:val="28"/>
          <w:szCs w:val="28"/>
        </w:rPr>
      </w:pPr>
      <w:r>
        <w:rPr>
          <w:color w:val="000000" w:themeColor="text1"/>
          <w:sz w:val="28"/>
          <w:szCs w:val="28"/>
        </w:rPr>
        <w:t>- Các Bộ, ngành, cơ quan, tổ chức có ý kiến nhất trí, không có ý kiến bổ sung, bao gồm:</w:t>
      </w:r>
    </w:p>
    <w:p w14:paraId="2D1A80E9" w14:textId="672D9C4C" w:rsidR="009E4C74" w:rsidRDefault="009E4C74" w:rsidP="002F282B">
      <w:pPr>
        <w:spacing w:after="120"/>
        <w:ind w:firstLine="720"/>
        <w:jc w:val="both"/>
        <w:rPr>
          <w:color w:val="000000" w:themeColor="text1"/>
          <w:sz w:val="28"/>
          <w:szCs w:val="28"/>
        </w:rPr>
      </w:pPr>
      <w:r>
        <w:rPr>
          <w:color w:val="000000" w:themeColor="text1"/>
          <w:sz w:val="28"/>
          <w:szCs w:val="28"/>
        </w:rPr>
        <w:t xml:space="preserve">+ Các Bộ, cơ quan ngang Bộ, cơ quan thuộc Chính phủ: Bộ Quốc phòng, </w:t>
      </w:r>
      <w:r w:rsidR="00732489">
        <w:rPr>
          <w:color w:val="000000" w:themeColor="text1"/>
          <w:sz w:val="28"/>
          <w:szCs w:val="28"/>
        </w:rPr>
        <w:t xml:space="preserve">Bộ Dân tộc và Tôn giáo, </w:t>
      </w:r>
      <w:r>
        <w:rPr>
          <w:color w:val="000000" w:themeColor="text1"/>
          <w:sz w:val="28"/>
          <w:szCs w:val="28"/>
        </w:rPr>
        <w:t>Đài Tiếng nói Việt Nam</w:t>
      </w:r>
      <w:r w:rsidR="00992AE8">
        <w:rPr>
          <w:color w:val="000000" w:themeColor="text1"/>
          <w:sz w:val="28"/>
          <w:szCs w:val="28"/>
        </w:rPr>
        <w:t>, Viện Hàn lâm Khoa học và Công nghệ Việt Nam</w:t>
      </w:r>
      <w:r w:rsidR="00294ADC">
        <w:rPr>
          <w:color w:val="000000" w:themeColor="text1"/>
          <w:sz w:val="28"/>
          <w:szCs w:val="28"/>
        </w:rPr>
        <w:t>, Thông tấn xã Việt Nam</w:t>
      </w:r>
    </w:p>
    <w:p w14:paraId="62B29F72" w14:textId="7BD13F95" w:rsidR="009E4C74" w:rsidRDefault="009E4C74" w:rsidP="002F282B">
      <w:pPr>
        <w:spacing w:after="120"/>
        <w:ind w:firstLine="720"/>
        <w:jc w:val="both"/>
        <w:rPr>
          <w:color w:val="000000" w:themeColor="text1"/>
          <w:sz w:val="28"/>
          <w:szCs w:val="28"/>
        </w:rPr>
      </w:pPr>
      <w:r>
        <w:rPr>
          <w:color w:val="000000" w:themeColor="text1"/>
          <w:sz w:val="28"/>
          <w:szCs w:val="28"/>
        </w:rPr>
        <w:lastRenderedPageBreak/>
        <w:t xml:space="preserve">+ UBND các tỉnh, thành phố trực thuộc Trung ương: </w:t>
      </w:r>
      <w:r w:rsidRPr="00EA39AF">
        <w:rPr>
          <w:color w:val="000000" w:themeColor="text1"/>
          <w:sz w:val="28"/>
          <w:szCs w:val="28"/>
        </w:rPr>
        <w:t>Lai Châu</w:t>
      </w:r>
      <w:r>
        <w:rPr>
          <w:color w:val="000000" w:themeColor="text1"/>
          <w:sz w:val="28"/>
          <w:szCs w:val="28"/>
        </w:rPr>
        <w:t xml:space="preserve"> (giao STC)</w:t>
      </w:r>
      <w:r w:rsidRPr="00EA39AF">
        <w:rPr>
          <w:color w:val="000000" w:themeColor="text1"/>
          <w:sz w:val="28"/>
          <w:szCs w:val="28"/>
        </w:rPr>
        <w:t>, Lạng Sơn, Ninh Bình</w:t>
      </w:r>
      <w:r>
        <w:rPr>
          <w:color w:val="000000" w:themeColor="text1"/>
          <w:sz w:val="28"/>
          <w:szCs w:val="28"/>
        </w:rPr>
        <w:t xml:space="preserve"> (giao STC)</w:t>
      </w:r>
      <w:r w:rsidRPr="00EA39AF">
        <w:rPr>
          <w:color w:val="000000" w:themeColor="text1"/>
          <w:sz w:val="28"/>
          <w:szCs w:val="28"/>
        </w:rPr>
        <w:t>, Đắk Lắk</w:t>
      </w:r>
      <w:r>
        <w:rPr>
          <w:color w:val="000000" w:themeColor="text1"/>
          <w:sz w:val="28"/>
          <w:szCs w:val="28"/>
        </w:rPr>
        <w:t xml:space="preserve"> (giao STC), Gia Lai (giao Thuế tỉnh)</w:t>
      </w:r>
      <w:r w:rsidR="00B37C77">
        <w:rPr>
          <w:color w:val="000000" w:themeColor="text1"/>
          <w:sz w:val="28"/>
          <w:szCs w:val="28"/>
        </w:rPr>
        <w:t>, Cần Thơ (giao STC)</w:t>
      </w:r>
      <w:r w:rsidR="008B2983">
        <w:rPr>
          <w:color w:val="000000" w:themeColor="text1"/>
          <w:sz w:val="28"/>
          <w:szCs w:val="28"/>
        </w:rPr>
        <w:t>, Cà Mau (giao Thuế tỉnh)</w:t>
      </w:r>
      <w:r w:rsidR="004F0CC0">
        <w:rPr>
          <w:color w:val="000000" w:themeColor="text1"/>
          <w:sz w:val="28"/>
          <w:szCs w:val="28"/>
        </w:rPr>
        <w:t>, Hà Tĩnh (giao STC), Đồng Tháp (giao STC)</w:t>
      </w:r>
      <w:r w:rsidR="00251BE1">
        <w:rPr>
          <w:color w:val="000000" w:themeColor="text1"/>
          <w:sz w:val="28"/>
          <w:szCs w:val="28"/>
        </w:rPr>
        <w:t>, TP. Hải Phòng (giao Thuế tỉnh)</w:t>
      </w:r>
      <w:r w:rsidR="00A96B79">
        <w:rPr>
          <w:color w:val="000000" w:themeColor="text1"/>
          <w:sz w:val="28"/>
          <w:szCs w:val="28"/>
        </w:rPr>
        <w:t>, Cao Bằng (giao Thuế tỉnh)</w:t>
      </w:r>
      <w:r w:rsidR="00DF1150">
        <w:rPr>
          <w:color w:val="000000" w:themeColor="text1"/>
          <w:sz w:val="28"/>
          <w:szCs w:val="28"/>
        </w:rPr>
        <w:t>, An Giang (giao Thuế tỉnh)</w:t>
      </w:r>
      <w:r w:rsidR="00D27ADF">
        <w:rPr>
          <w:color w:val="000000" w:themeColor="text1"/>
          <w:sz w:val="28"/>
          <w:szCs w:val="28"/>
        </w:rPr>
        <w:t>, Bắc Ninh (giao Thuế tỉnh)</w:t>
      </w:r>
      <w:r w:rsidR="00EA444B">
        <w:rPr>
          <w:color w:val="000000" w:themeColor="text1"/>
          <w:sz w:val="28"/>
          <w:szCs w:val="28"/>
        </w:rPr>
        <w:t>, tỉnh Điện Biên</w:t>
      </w:r>
    </w:p>
    <w:p w14:paraId="081D17F1" w14:textId="17B76403" w:rsidR="009E4C74" w:rsidRDefault="009E4C74" w:rsidP="002F282B">
      <w:pPr>
        <w:spacing w:after="120"/>
        <w:ind w:firstLine="720"/>
        <w:jc w:val="both"/>
        <w:rPr>
          <w:color w:val="000000" w:themeColor="text1"/>
          <w:sz w:val="28"/>
          <w:szCs w:val="28"/>
        </w:rPr>
      </w:pPr>
      <w:r>
        <w:rPr>
          <w:color w:val="000000" w:themeColor="text1"/>
          <w:sz w:val="28"/>
          <w:szCs w:val="28"/>
        </w:rPr>
        <w:t xml:space="preserve">+ Thuế tỉnh, thành phố trực thuộc Trung ương: </w:t>
      </w:r>
      <w:r w:rsidRPr="00EA39AF">
        <w:rPr>
          <w:color w:val="000000" w:themeColor="text1"/>
          <w:sz w:val="28"/>
          <w:szCs w:val="28"/>
        </w:rPr>
        <w:t>Thuế tỉnh Thái Nguyên, Quảng Trị</w:t>
      </w:r>
      <w:r>
        <w:rPr>
          <w:color w:val="000000" w:themeColor="text1"/>
          <w:sz w:val="28"/>
          <w:szCs w:val="28"/>
        </w:rPr>
        <w:t>, Lai Châu</w:t>
      </w:r>
      <w:r w:rsidR="00F12FD6">
        <w:rPr>
          <w:color w:val="000000" w:themeColor="text1"/>
          <w:sz w:val="28"/>
          <w:szCs w:val="28"/>
        </w:rPr>
        <w:t>, Vĩnh Long</w:t>
      </w:r>
      <w:r w:rsidR="00294ADC">
        <w:rPr>
          <w:color w:val="000000" w:themeColor="text1"/>
          <w:sz w:val="28"/>
          <w:szCs w:val="28"/>
        </w:rPr>
        <w:t>, TP.Huế</w:t>
      </w:r>
      <w:r w:rsidR="007C5A9C">
        <w:rPr>
          <w:color w:val="000000" w:themeColor="text1"/>
          <w:sz w:val="28"/>
          <w:szCs w:val="28"/>
        </w:rPr>
        <w:t>.</w:t>
      </w:r>
    </w:p>
    <w:tbl>
      <w:tblPr>
        <w:tblStyle w:val="TableGrid"/>
        <w:tblW w:w="0" w:type="auto"/>
        <w:tblLook w:val="04A0" w:firstRow="1" w:lastRow="0" w:firstColumn="1" w:lastColumn="0" w:noHBand="0" w:noVBand="1"/>
      </w:tblPr>
      <w:tblGrid>
        <w:gridCol w:w="2263"/>
        <w:gridCol w:w="2694"/>
        <w:gridCol w:w="5244"/>
        <w:gridCol w:w="3749"/>
      </w:tblGrid>
      <w:tr w:rsidR="00C90778" w:rsidRPr="00EA39AF" w14:paraId="2FA750EF" w14:textId="77777777" w:rsidTr="00913842">
        <w:trPr>
          <w:tblHeader/>
        </w:trPr>
        <w:tc>
          <w:tcPr>
            <w:tcW w:w="2263" w:type="dxa"/>
            <w:vAlign w:val="center"/>
          </w:tcPr>
          <w:p w14:paraId="2ABDB963" w14:textId="77777777" w:rsidR="00C90778" w:rsidRPr="00EA39AF" w:rsidRDefault="00C90778" w:rsidP="00C90778">
            <w:pPr>
              <w:jc w:val="center"/>
              <w:rPr>
                <w:b/>
                <w:bCs/>
                <w:color w:val="000000" w:themeColor="text1"/>
                <w:sz w:val="28"/>
                <w:szCs w:val="28"/>
              </w:rPr>
            </w:pPr>
            <w:r w:rsidRPr="00EA39AF">
              <w:rPr>
                <w:b/>
                <w:bCs/>
                <w:color w:val="000000" w:themeColor="text1"/>
                <w:sz w:val="28"/>
                <w:szCs w:val="28"/>
              </w:rPr>
              <w:t>CHÍNH SÁCH HOẶC NHÓM VẤN ĐỀ, ĐIỀU, KHOẢN</w:t>
            </w:r>
          </w:p>
        </w:tc>
        <w:tc>
          <w:tcPr>
            <w:tcW w:w="2694" w:type="dxa"/>
            <w:vAlign w:val="center"/>
          </w:tcPr>
          <w:p w14:paraId="4B7DD212" w14:textId="77777777" w:rsidR="00C90778" w:rsidRPr="00EA39AF" w:rsidRDefault="00C90778" w:rsidP="00C90778">
            <w:pPr>
              <w:jc w:val="center"/>
              <w:rPr>
                <w:b/>
                <w:bCs/>
                <w:color w:val="000000" w:themeColor="text1"/>
                <w:sz w:val="28"/>
                <w:szCs w:val="28"/>
              </w:rPr>
            </w:pPr>
            <w:r w:rsidRPr="00EA39AF">
              <w:rPr>
                <w:b/>
                <w:bCs/>
                <w:color w:val="000000" w:themeColor="text1"/>
                <w:sz w:val="28"/>
                <w:szCs w:val="28"/>
              </w:rPr>
              <w:t>CHỦ THỂ GÓP Ý/THAM VẤN/PHẢN BIỆN</w:t>
            </w:r>
          </w:p>
        </w:tc>
        <w:tc>
          <w:tcPr>
            <w:tcW w:w="5244" w:type="dxa"/>
            <w:vAlign w:val="center"/>
          </w:tcPr>
          <w:p w14:paraId="34F0E4D7" w14:textId="77777777" w:rsidR="00C90778" w:rsidRPr="00EA39AF" w:rsidRDefault="00C90778" w:rsidP="00C90778">
            <w:pPr>
              <w:jc w:val="center"/>
              <w:rPr>
                <w:b/>
                <w:bCs/>
                <w:color w:val="000000" w:themeColor="text1"/>
                <w:sz w:val="28"/>
                <w:szCs w:val="28"/>
              </w:rPr>
            </w:pPr>
            <w:r w:rsidRPr="00EA39AF">
              <w:rPr>
                <w:b/>
                <w:bCs/>
                <w:color w:val="000000" w:themeColor="text1"/>
                <w:sz w:val="28"/>
                <w:szCs w:val="28"/>
              </w:rPr>
              <w:t>NỘI DUNG GÓP Ý/ THAM VẤN/ PHẢN BIỆN</w:t>
            </w:r>
          </w:p>
        </w:tc>
        <w:tc>
          <w:tcPr>
            <w:tcW w:w="3749" w:type="dxa"/>
            <w:vAlign w:val="center"/>
          </w:tcPr>
          <w:p w14:paraId="1887DFF4" w14:textId="77777777" w:rsidR="00C90778" w:rsidRPr="00EA39AF" w:rsidRDefault="00C90778" w:rsidP="00C90778">
            <w:pPr>
              <w:jc w:val="center"/>
              <w:rPr>
                <w:b/>
                <w:bCs/>
                <w:color w:val="000000" w:themeColor="text1"/>
                <w:sz w:val="28"/>
                <w:szCs w:val="28"/>
              </w:rPr>
            </w:pPr>
            <w:r w:rsidRPr="00EA39AF">
              <w:rPr>
                <w:b/>
                <w:bCs/>
                <w:color w:val="000000" w:themeColor="text1"/>
                <w:sz w:val="28"/>
                <w:szCs w:val="28"/>
              </w:rPr>
              <w:t>NỘI DUNG TIẾP THU, GIẢI TRÌNH</w:t>
            </w:r>
          </w:p>
        </w:tc>
      </w:tr>
      <w:tr w:rsidR="00692324" w:rsidRPr="00EA39AF" w14:paraId="542B1085" w14:textId="77777777" w:rsidTr="00CC76FD">
        <w:tc>
          <w:tcPr>
            <w:tcW w:w="2263" w:type="dxa"/>
            <w:vMerge w:val="restart"/>
            <w:vAlign w:val="center"/>
          </w:tcPr>
          <w:p w14:paraId="01D368C0" w14:textId="5A0ACB0F" w:rsidR="00692324" w:rsidRPr="00EA39AF" w:rsidRDefault="00692324" w:rsidP="00CC76FD">
            <w:pPr>
              <w:jc w:val="center"/>
              <w:rPr>
                <w:sz w:val="28"/>
                <w:szCs w:val="28"/>
              </w:rPr>
            </w:pPr>
            <w:r>
              <w:rPr>
                <w:b/>
                <w:bCs/>
                <w:sz w:val="28"/>
                <w:szCs w:val="28"/>
              </w:rPr>
              <w:t>Chính sách 1: Miễn trừ áp dụng QDMTT đối với các dự án BOT điện có bảo lãnh Chính phủ (GGU)</w:t>
            </w:r>
          </w:p>
        </w:tc>
        <w:tc>
          <w:tcPr>
            <w:tcW w:w="2694" w:type="dxa"/>
            <w:vAlign w:val="center"/>
          </w:tcPr>
          <w:p w14:paraId="266646B3" w14:textId="18CC4F74" w:rsidR="00692324" w:rsidRPr="00EA39AF" w:rsidRDefault="00692324" w:rsidP="00404FD3">
            <w:pPr>
              <w:jc w:val="center"/>
              <w:rPr>
                <w:sz w:val="28"/>
                <w:szCs w:val="28"/>
              </w:rPr>
            </w:pPr>
            <w:r>
              <w:rPr>
                <w:sz w:val="28"/>
                <w:szCs w:val="28"/>
              </w:rPr>
              <w:t>Bộ Công Thương</w:t>
            </w:r>
          </w:p>
        </w:tc>
        <w:tc>
          <w:tcPr>
            <w:tcW w:w="5244" w:type="dxa"/>
          </w:tcPr>
          <w:p w14:paraId="67460B8F" w14:textId="77777777" w:rsidR="00692324" w:rsidRDefault="00692324" w:rsidP="00683285">
            <w:pPr>
              <w:ind w:firstLine="318"/>
              <w:jc w:val="both"/>
              <w:rPr>
                <w:sz w:val="28"/>
                <w:szCs w:val="28"/>
              </w:rPr>
            </w:pPr>
            <w:r>
              <w:rPr>
                <w:sz w:val="28"/>
                <w:szCs w:val="28"/>
              </w:rPr>
              <w:t>Dự thảo Nghị quyết nên cân nhắc trường hợp tập đoàn chỉ có 1 đơn vị hợp thành hoặc công ty liên doanh là công ty BOT điện thì không cần thực hiện thủ tục tính toán ra số thuế để giảm chi phí hành chính và thủ tục về tuân thủ không cần thiết (Lý do: Việc thực hiện tính toán phức tạp, phát sinh chi phí tuân thủ trong khi số thuế tính ra sẽ không phải nộp nên việc tính toán ra số thuế giảm trừ không có ý nghĩa). Vì vậy, đề nghị sửa lại nội dung khoản 1 Điều 1 của dự thảo Nghị quyết như sau:</w:t>
            </w:r>
          </w:p>
          <w:p w14:paraId="05366BA8" w14:textId="77777777" w:rsidR="00692324" w:rsidRPr="00683285" w:rsidRDefault="00692324" w:rsidP="00683285">
            <w:pPr>
              <w:ind w:firstLine="318"/>
              <w:jc w:val="both"/>
              <w:rPr>
                <w:i/>
                <w:iCs/>
                <w:sz w:val="28"/>
                <w:szCs w:val="28"/>
              </w:rPr>
            </w:pPr>
            <w:r w:rsidRPr="00683285">
              <w:rPr>
                <w:i/>
                <w:iCs/>
                <w:sz w:val="28"/>
                <w:szCs w:val="28"/>
              </w:rPr>
              <w:t>“10. Số thuế thu nhập doanh nghiệp bổ sung tối thiểu nội địa đạt chuẩn sẽ được giảm trừ về bằng 0 (không) trong năm tài chính đối với các doanh nghiệp thực hiện dự án BOT điện có bảo lãnh Chính phủ (GGU).</w:t>
            </w:r>
          </w:p>
          <w:p w14:paraId="13CCC56E" w14:textId="77777777" w:rsidR="00692324" w:rsidRPr="00683285" w:rsidRDefault="00692324" w:rsidP="00683285">
            <w:pPr>
              <w:ind w:firstLine="318"/>
              <w:jc w:val="both"/>
              <w:rPr>
                <w:i/>
                <w:iCs/>
                <w:sz w:val="28"/>
                <w:szCs w:val="28"/>
              </w:rPr>
            </w:pPr>
            <w:r w:rsidRPr="00683285">
              <w:rPr>
                <w:i/>
                <w:iCs/>
                <w:sz w:val="28"/>
                <w:szCs w:val="28"/>
              </w:rPr>
              <w:lastRenderedPageBreak/>
              <w:t>Số thuế thu nhập doanh nghiệp bổ sung tối thiểu nội địa đạt chuẩn được giảm trừ được xác định theo quy định về thuế thu nhập doanh nghiệp bổ sung tối thiểu nội địa đạt chuẩn theo tiêu chí thu nhập.</w:t>
            </w:r>
          </w:p>
          <w:p w14:paraId="3CB2F64E" w14:textId="31BEC5AF" w:rsidR="00692324" w:rsidRPr="00EA39AF" w:rsidRDefault="00692324" w:rsidP="00683285">
            <w:pPr>
              <w:rPr>
                <w:sz w:val="28"/>
                <w:szCs w:val="28"/>
              </w:rPr>
            </w:pPr>
            <w:r w:rsidRPr="00683285">
              <w:rPr>
                <w:i/>
                <w:iCs/>
                <w:sz w:val="28"/>
                <w:szCs w:val="28"/>
              </w:rPr>
              <w:t>Trường hợp doanh nghiệp thực hiện dự án BOT điện có bảo lãnh Chính phủ (GGU) là đơn vị hợp thành duy nhất hoặc là doanh nghiệp liên doanh của tập đoàn đa quốc gia tại Việt Nam, doanh nghiệp không cần thực hiện việc tính toán số thuế thu nhập doanh nghiệp bổ sung tối thiểu nội địa đạt chuẩn được giảm trừ”.</w:t>
            </w:r>
          </w:p>
        </w:tc>
        <w:tc>
          <w:tcPr>
            <w:tcW w:w="3749" w:type="dxa"/>
          </w:tcPr>
          <w:p w14:paraId="34527BC0" w14:textId="0D3D43D8" w:rsidR="00692324" w:rsidRDefault="00692324" w:rsidP="00BB2EAF">
            <w:pPr>
              <w:ind w:firstLine="454"/>
              <w:jc w:val="both"/>
              <w:rPr>
                <w:sz w:val="28"/>
                <w:szCs w:val="28"/>
              </w:rPr>
            </w:pPr>
            <w:r>
              <w:rPr>
                <w:sz w:val="28"/>
                <w:szCs w:val="28"/>
              </w:rPr>
              <w:lastRenderedPageBreak/>
              <w:t xml:space="preserve">Về bản chất, ý kiến của Bộ Công Thương tương tự với dự thảo Nghị quyết khi gửi lấy ý kiến Bộ, ngành. Tuy nhiên, Bộ Công Thương đề xuất muốn làm rõ về nghĩa vụ thuế và trách nhiệm của các dự án BOT điện trong trường hợp doanh nghiệp thực hiện dự án BOT điện là đơn vị hợp thành duy nhất hoặc liên doanh duy nhất của Tập đoàn đa quốc gia tại Việt Nam thì số thuế thu nhập doanh nghiệp bổ sung tối thiểu nội địa đạt chuẩn (QDMTT) sẽ được xác định bằng 0 mà không cần phải tính toán cụ thể theo quy định. Việc này giảm bớt gánh </w:t>
            </w:r>
            <w:r>
              <w:rPr>
                <w:sz w:val="28"/>
                <w:szCs w:val="28"/>
              </w:rPr>
              <w:lastRenderedPageBreak/>
              <w:t>nặng tuân thủ cho doanh nghiệp. Tuy nhiên, đối với trường hợp này, Bộ Tài chính đề xuất làm rõ hơn rằng tuy doanh nghiệp không phải tính toán số thuế TNDN bổ sung nhưng vẫn phải thực hiện kê khai theo quy định.</w:t>
            </w:r>
          </w:p>
          <w:p w14:paraId="42DC8F2B" w14:textId="46D35B52" w:rsidR="00692324" w:rsidRDefault="00692324" w:rsidP="00BB2EAF">
            <w:pPr>
              <w:ind w:firstLine="454"/>
              <w:jc w:val="both"/>
              <w:rPr>
                <w:sz w:val="28"/>
                <w:szCs w:val="28"/>
              </w:rPr>
            </w:pPr>
            <w:r>
              <w:rPr>
                <w:sz w:val="28"/>
                <w:szCs w:val="28"/>
              </w:rPr>
              <w:t xml:space="preserve">Do đó, Bộ Tài chính tiếp thu ý kiến của Bộ Công Thương, điều chỉnh khoản 1 Điều 1 dự thảo Nghị quyết </w:t>
            </w:r>
            <w:r w:rsidR="008014D3">
              <w:rPr>
                <w:sz w:val="28"/>
                <w:szCs w:val="28"/>
              </w:rPr>
              <w:t xml:space="preserve">cho rõ ràng hơn </w:t>
            </w:r>
            <w:r>
              <w:rPr>
                <w:sz w:val="28"/>
                <w:szCs w:val="28"/>
              </w:rPr>
              <w:t>như sau:</w:t>
            </w:r>
          </w:p>
          <w:p w14:paraId="13CD19F3" w14:textId="77777777" w:rsidR="00315D92" w:rsidRPr="00315D92" w:rsidRDefault="00315D92" w:rsidP="00315D92">
            <w:pPr>
              <w:ind w:firstLine="318"/>
              <w:jc w:val="both"/>
              <w:rPr>
                <w:i/>
                <w:iCs/>
                <w:sz w:val="28"/>
                <w:szCs w:val="28"/>
              </w:rPr>
            </w:pPr>
            <w:r w:rsidRPr="00315D92">
              <w:rPr>
                <w:i/>
                <w:iCs/>
                <w:sz w:val="28"/>
                <w:szCs w:val="28"/>
              </w:rPr>
              <w:t xml:space="preserve">“10. Số thuế thu nhập doanh nghiệp bổ sung tối thiểu nội địa đạt chuẩn sẽ được xác định bằng 0 (không) trong năm tài chính đối với các doanh nghiệp thực hiện Dự án Nhà máy điện theo cơ chế Xây dựng – Vận hành – Chuyển giao có bảo lãnh Chính phủ (sau đây gọi là Dự án BOT điện) với điều kiện </w:t>
            </w:r>
            <w:r w:rsidRPr="00315D92">
              <w:rPr>
                <w:i/>
                <w:iCs/>
                <w:sz w:val="28"/>
                <w:szCs w:val="28"/>
              </w:rPr>
              <w:lastRenderedPageBreak/>
              <w:t>Hợp đồng Xây dựng – Vận hành – Chuyển giao có cam kết về thuế và được ký kết trước ngày Nghị quyết 107/2023/QH15 có hiệu lực thi hành (1/1/2024).</w:t>
            </w:r>
          </w:p>
          <w:p w14:paraId="3E692A5D" w14:textId="77777777" w:rsidR="00315D92" w:rsidRPr="00315D92" w:rsidRDefault="00315D92" w:rsidP="00315D92">
            <w:pPr>
              <w:ind w:firstLine="318"/>
              <w:jc w:val="both"/>
              <w:rPr>
                <w:i/>
                <w:iCs/>
                <w:sz w:val="28"/>
                <w:szCs w:val="28"/>
              </w:rPr>
            </w:pPr>
            <w:r w:rsidRPr="00315D92">
              <w:rPr>
                <w:i/>
                <w:iCs/>
                <w:sz w:val="28"/>
                <w:szCs w:val="28"/>
              </w:rPr>
              <w:t>Trường hợp doanh nghiệp thực hiện Dự án BOT điện là đơn vị hợp thành của tập đoàn đa quốc gia có nhiều hơn một đơn vị hợp thành tại Việt Nam thì số thuế thu nhập doanh nghiệp bổ sung tối thiểu nội địa đạt chuẩn đối với doanh nghiệp này là số thuế được phân bổ theo tiêu chí thu nhập từ số thuế thu nhập doanh nghiệp bổ sung tối thiểu nội địa đạt chuẩn của tập đoàn đa quốc gia và số thuế phân bổ được xác định bằng 0 (không).</w:t>
            </w:r>
          </w:p>
          <w:p w14:paraId="7C90A586" w14:textId="638AF645" w:rsidR="00692324" w:rsidRPr="00EA39AF" w:rsidRDefault="00315D92" w:rsidP="00315D92">
            <w:pPr>
              <w:ind w:firstLine="313"/>
              <w:jc w:val="both"/>
              <w:rPr>
                <w:sz w:val="28"/>
                <w:szCs w:val="28"/>
              </w:rPr>
            </w:pPr>
            <w:r w:rsidRPr="00315D92">
              <w:rPr>
                <w:i/>
                <w:iCs/>
                <w:sz w:val="28"/>
                <w:szCs w:val="28"/>
              </w:rPr>
              <w:t xml:space="preserve">Trường hợp doanh nghiệp thực hiện Dự án BOT điện là đơn vị hợp thành duy nhất hoặc </w:t>
            </w:r>
            <w:r w:rsidRPr="00315D92">
              <w:rPr>
                <w:i/>
                <w:iCs/>
                <w:sz w:val="28"/>
                <w:szCs w:val="28"/>
              </w:rPr>
              <w:lastRenderedPageBreak/>
              <w:t>là liên doanh duy nhất của tập đoàn đa quốc gia tại Việt Nam, doanh nghiệp nộp hồ sơ khai thuế theo quy định tại Điều 6 Nghị quyết này và thực hiện kê khai thuế thu nhập doanh nghiệp bổ sung tối thiểu nội địa đạt chuẩn bằng 0 (không).”</w:t>
            </w:r>
          </w:p>
        </w:tc>
      </w:tr>
      <w:tr w:rsidR="00692324" w:rsidRPr="00EA39AF" w14:paraId="71971A63" w14:textId="77777777" w:rsidTr="00404FD3">
        <w:tc>
          <w:tcPr>
            <w:tcW w:w="2263" w:type="dxa"/>
            <w:vMerge/>
          </w:tcPr>
          <w:p w14:paraId="4FD3B06D" w14:textId="77777777" w:rsidR="00692324" w:rsidRPr="00EA39AF" w:rsidRDefault="00692324" w:rsidP="00683285">
            <w:pPr>
              <w:pStyle w:val="ListParagraph"/>
              <w:ind w:left="319"/>
              <w:rPr>
                <w:b/>
                <w:bCs/>
                <w:sz w:val="28"/>
                <w:szCs w:val="28"/>
              </w:rPr>
            </w:pPr>
          </w:p>
        </w:tc>
        <w:tc>
          <w:tcPr>
            <w:tcW w:w="2694" w:type="dxa"/>
            <w:vAlign w:val="center"/>
          </w:tcPr>
          <w:p w14:paraId="07241A1F" w14:textId="3BB46B13" w:rsidR="00692324" w:rsidRPr="00EA39AF" w:rsidRDefault="00692324" w:rsidP="00404FD3">
            <w:pPr>
              <w:jc w:val="center"/>
              <w:rPr>
                <w:sz w:val="28"/>
                <w:szCs w:val="28"/>
              </w:rPr>
            </w:pPr>
            <w:r>
              <w:rPr>
                <w:sz w:val="28"/>
                <w:szCs w:val="28"/>
              </w:rPr>
              <w:t>Liên minh Diễn đàn Doanh nghiệp Việt Nam (VBF)</w:t>
            </w:r>
          </w:p>
        </w:tc>
        <w:tc>
          <w:tcPr>
            <w:tcW w:w="5244" w:type="dxa"/>
          </w:tcPr>
          <w:p w14:paraId="0F0AC68B" w14:textId="12B1E68E" w:rsidR="00692324" w:rsidRPr="00EA39AF" w:rsidRDefault="00692324" w:rsidP="00683285">
            <w:pPr>
              <w:ind w:firstLine="318"/>
              <w:jc w:val="both"/>
              <w:rPr>
                <w:sz w:val="28"/>
                <w:szCs w:val="28"/>
              </w:rPr>
            </w:pPr>
            <w:r>
              <w:rPr>
                <w:sz w:val="28"/>
                <w:szCs w:val="28"/>
              </w:rPr>
              <w:t>Như ý kiến của Bộ Công Thương.</w:t>
            </w:r>
          </w:p>
        </w:tc>
        <w:tc>
          <w:tcPr>
            <w:tcW w:w="3749" w:type="dxa"/>
          </w:tcPr>
          <w:p w14:paraId="2B6F8D93" w14:textId="6B865E79" w:rsidR="00692324" w:rsidRPr="00EA39AF" w:rsidRDefault="00692324" w:rsidP="00F15D4D">
            <w:pPr>
              <w:ind w:firstLine="323"/>
              <w:rPr>
                <w:sz w:val="28"/>
                <w:szCs w:val="28"/>
              </w:rPr>
            </w:pPr>
            <w:r>
              <w:rPr>
                <w:sz w:val="28"/>
                <w:szCs w:val="28"/>
              </w:rPr>
              <w:t>Như nội dung giải trình, tiếp thu đối với ý kiến của Bộ Công Thương.</w:t>
            </w:r>
          </w:p>
        </w:tc>
      </w:tr>
      <w:tr w:rsidR="00692324" w:rsidRPr="00EA39AF" w14:paraId="60145E41" w14:textId="77777777" w:rsidTr="00CB2E5F">
        <w:tc>
          <w:tcPr>
            <w:tcW w:w="2263" w:type="dxa"/>
            <w:vMerge/>
          </w:tcPr>
          <w:p w14:paraId="545D1911" w14:textId="77777777" w:rsidR="00692324" w:rsidRPr="00EA39AF" w:rsidRDefault="00692324" w:rsidP="00683285">
            <w:pPr>
              <w:pStyle w:val="ListParagraph"/>
              <w:ind w:left="319"/>
              <w:rPr>
                <w:b/>
                <w:bCs/>
                <w:sz w:val="28"/>
                <w:szCs w:val="28"/>
              </w:rPr>
            </w:pPr>
          </w:p>
        </w:tc>
        <w:tc>
          <w:tcPr>
            <w:tcW w:w="2694" w:type="dxa"/>
            <w:vMerge w:val="restart"/>
            <w:vAlign w:val="center"/>
          </w:tcPr>
          <w:p w14:paraId="12978535" w14:textId="12D78FA1" w:rsidR="00692324" w:rsidRDefault="00692324" w:rsidP="00CB2E5F">
            <w:pPr>
              <w:jc w:val="center"/>
              <w:rPr>
                <w:sz w:val="28"/>
                <w:szCs w:val="28"/>
              </w:rPr>
            </w:pPr>
            <w:r>
              <w:rPr>
                <w:sz w:val="28"/>
                <w:szCs w:val="28"/>
              </w:rPr>
              <w:t>Bộ Khoa học và Công nghệ</w:t>
            </w:r>
          </w:p>
        </w:tc>
        <w:tc>
          <w:tcPr>
            <w:tcW w:w="5244" w:type="dxa"/>
          </w:tcPr>
          <w:p w14:paraId="37C785D3" w14:textId="77777777" w:rsidR="00692324" w:rsidRDefault="00692324" w:rsidP="00B55E35">
            <w:pPr>
              <w:ind w:firstLine="318"/>
              <w:jc w:val="both"/>
              <w:rPr>
                <w:sz w:val="28"/>
                <w:szCs w:val="28"/>
              </w:rPr>
            </w:pPr>
            <w:r>
              <w:rPr>
                <w:sz w:val="28"/>
                <w:szCs w:val="28"/>
              </w:rPr>
              <w:t>*</w:t>
            </w:r>
            <w:r w:rsidRPr="00B55E35">
              <w:rPr>
                <w:sz w:val="28"/>
                <w:szCs w:val="28"/>
              </w:rPr>
              <w:t>Về người nộp thuế:</w:t>
            </w:r>
          </w:p>
          <w:p w14:paraId="7C25584D" w14:textId="3A189747" w:rsidR="00692324" w:rsidRDefault="00692324" w:rsidP="00B55E35">
            <w:pPr>
              <w:ind w:firstLine="318"/>
              <w:jc w:val="both"/>
              <w:rPr>
                <w:sz w:val="28"/>
                <w:szCs w:val="28"/>
              </w:rPr>
            </w:pPr>
            <w:r>
              <w:rPr>
                <w:sz w:val="28"/>
                <w:szCs w:val="28"/>
              </w:rPr>
              <w:t xml:space="preserve">- </w:t>
            </w:r>
            <w:r w:rsidRPr="00B55E35">
              <w:rPr>
                <w:sz w:val="28"/>
                <w:szCs w:val="28"/>
              </w:rPr>
              <w:t xml:space="preserve">Tại Điều 2 Nghị quyết số 107/2023/QH15 ngày 29/11/2023 của Quốc hội khóa 15 việc áp dụng thuế thu nhập doanh nghiệp bổ sung đối với người nộp thuế theo quy định chống xói mòn cơ sở thuế toàn cầu quy định về người nộp thuể là: “1. Đơn vị hợp thành của tập đoàn đa quốc gia có doanh thu trong bảo cáo tài chính hợp nhất của công ty mẹ tối cao ít nhất 02 năm trong 04 năm liền kể trước năm tài chính tương đương 750 triệu </w:t>
            </w:r>
            <w:r w:rsidRPr="00B55E35">
              <w:rPr>
                <w:sz w:val="28"/>
                <w:szCs w:val="28"/>
              </w:rPr>
              <w:lastRenderedPageBreak/>
              <w:t>euro (EUR) trở lên, trừ các trường hợp sau đây:</w:t>
            </w:r>
          </w:p>
          <w:p w14:paraId="42706519" w14:textId="77777777" w:rsidR="00692324" w:rsidRDefault="00692324" w:rsidP="00B55E35">
            <w:pPr>
              <w:ind w:firstLine="318"/>
              <w:jc w:val="both"/>
              <w:rPr>
                <w:sz w:val="28"/>
                <w:szCs w:val="28"/>
              </w:rPr>
            </w:pPr>
            <w:r w:rsidRPr="00B55E35">
              <w:rPr>
                <w:sz w:val="28"/>
                <w:szCs w:val="28"/>
              </w:rPr>
              <w:t>a) Tổ chức của chính phủ:</w:t>
            </w:r>
          </w:p>
          <w:p w14:paraId="47AEC792" w14:textId="77777777" w:rsidR="00692324" w:rsidRDefault="00692324" w:rsidP="00B55E35">
            <w:pPr>
              <w:ind w:firstLine="318"/>
              <w:jc w:val="both"/>
              <w:rPr>
                <w:sz w:val="28"/>
                <w:szCs w:val="28"/>
              </w:rPr>
            </w:pPr>
            <w:r w:rsidRPr="00B55E35">
              <w:rPr>
                <w:sz w:val="28"/>
                <w:szCs w:val="28"/>
              </w:rPr>
              <w:t>b) Tổ chức quốc tế:</w:t>
            </w:r>
          </w:p>
          <w:p w14:paraId="548D8086" w14:textId="77777777" w:rsidR="00692324" w:rsidRDefault="00692324" w:rsidP="00B55E35">
            <w:pPr>
              <w:ind w:firstLine="318"/>
              <w:jc w:val="both"/>
              <w:rPr>
                <w:sz w:val="28"/>
                <w:szCs w:val="28"/>
              </w:rPr>
            </w:pPr>
            <w:r w:rsidRPr="00B55E35">
              <w:rPr>
                <w:sz w:val="28"/>
                <w:szCs w:val="28"/>
              </w:rPr>
              <w:t>c) Tổ chức phi lợi nhuận;</w:t>
            </w:r>
          </w:p>
          <w:p w14:paraId="2FF8BC2C" w14:textId="77777777" w:rsidR="00692324" w:rsidRDefault="00692324" w:rsidP="00B55E35">
            <w:pPr>
              <w:ind w:firstLine="318"/>
              <w:jc w:val="both"/>
              <w:rPr>
                <w:sz w:val="28"/>
                <w:szCs w:val="28"/>
              </w:rPr>
            </w:pPr>
            <w:r w:rsidRPr="00B55E35">
              <w:rPr>
                <w:sz w:val="28"/>
                <w:szCs w:val="28"/>
              </w:rPr>
              <w:t>d) Quỹ hưu trí:</w:t>
            </w:r>
          </w:p>
          <w:p w14:paraId="6A7720F1" w14:textId="77777777" w:rsidR="00692324" w:rsidRDefault="00692324" w:rsidP="00B55E35">
            <w:pPr>
              <w:ind w:firstLine="318"/>
              <w:jc w:val="both"/>
              <w:rPr>
                <w:sz w:val="28"/>
                <w:szCs w:val="28"/>
              </w:rPr>
            </w:pPr>
            <w:r w:rsidRPr="00B55E35">
              <w:rPr>
                <w:sz w:val="28"/>
                <w:szCs w:val="28"/>
              </w:rPr>
              <w:t>đ) Quỹ đầu tư là công ty mẹ tối cao:</w:t>
            </w:r>
          </w:p>
          <w:p w14:paraId="44812CE7" w14:textId="77777777" w:rsidR="00692324" w:rsidRDefault="00692324" w:rsidP="00B55E35">
            <w:pPr>
              <w:ind w:firstLine="318"/>
              <w:jc w:val="both"/>
              <w:rPr>
                <w:sz w:val="28"/>
                <w:szCs w:val="28"/>
              </w:rPr>
            </w:pPr>
            <w:r w:rsidRPr="00B55E35">
              <w:rPr>
                <w:sz w:val="28"/>
                <w:szCs w:val="28"/>
              </w:rPr>
              <w:t>e) Tổ chức đầu tư bất động sản là công ty mẹ tối cao;</w:t>
            </w:r>
          </w:p>
          <w:p w14:paraId="62088D16" w14:textId="77777777" w:rsidR="00692324" w:rsidRDefault="00692324" w:rsidP="00B55E35">
            <w:pPr>
              <w:ind w:firstLine="318"/>
              <w:jc w:val="both"/>
              <w:rPr>
                <w:sz w:val="28"/>
                <w:szCs w:val="28"/>
              </w:rPr>
            </w:pPr>
            <w:r w:rsidRPr="00B55E35">
              <w:rPr>
                <w:sz w:val="28"/>
                <w:szCs w:val="28"/>
              </w:rPr>
              <w:t>g) Tổ chức có ít nhất 85% giá trị tài sản thuộc sở hữu trực tiếp hoặc giản tiếp thông qua các tổ chức quy định từ điểm a đến điểm e khoản này."</w:t>
            </w:r>
          </w:p>
          <w:p w14:paraId="689D3FE7" w14:textId="02B482BF" w:rsidR="00692324" w:rsidRPr="00B55E35" w:rsidRDefault="00692324" w:rsidP="00B55E35">
            <w:pPr>
              <w:ind w:firstLine="318"/>
              <w:jc w:val="both"/>
              <w:rPr>
                <w:sz w:val="28"/>
                <w:szCs w:val="28"/>
              </w:rPr>
            </w:pPr>
            <w:r w:rsidRPr="00B55E35">
              <w:rPr>
                <w:sz w:val="28"/>
                <w:szCs w:val="28"/>
              </w:rPr>
              <w:t>- Tại Điều 3 Nghị định số 236/2025/NĐ-CP ngày 29/8/2025 của Chính phủ quy định chi tiết một số điều của Nghị quyết số 107/2023/QH15 ngày 29 tháng 11 năm 2023 của Quốc hội về việc áp dụng thuế thu nhập doanh nghiệp bổ sung theo quy định chống xói mòn cơ sở thuế toàn cầu quy định chi tiết khoản 1 Điều 2 Nghị quyết số 107/2023/QH15.</w:t>
            </w:r>
          </w:p>
          <w:p w14:paraId="538B98D2" w14:textId="32DD577B" w:rsidR="00692324" w:rsidRDefault="00692324" w:rsidP="00B55E35">
            <w:pPr>
              <w:ind w:firstLine="318"/>
              <w:jc w:val="both"/>
              <w:rPr>
                <w:sz w:val="28"/>
                <w:szCs w:val="28"/>
              </w:rPr>
            </w:pPr>
            <w:r w:rsidRPr="00B55E35">
              <w:rPr>
                <w:sz w:val="28"/>
                <w:szCs w:val="28"/>
              </w:rPr>
              <w:lastRenderedPageBreak/>
              <w:t xml:space="preserve">- Tai khoản 8 Điều 3 Luật Đầu tư theo phương thức hợp tác công tư quy định: </w:t>
            </w:r>
            <w:r w:rsidRPr="0070455E">
              <w:rPr>
                <w:i/>
                <w:iCs/>
                <w:sz w:val="28"/>
                <w:szCs w:val="28"/>
              </w:rPr>
              <w:t>“8. Doanh nghiệp dự án PPP là doanh nghiệp do nhà đầu tư thành lập có mục đích duy nhất để ký kết và thực hiện hợp đồng dự án PPP”</w:t>
            </w:r>
          </w:p>
          <w:p w14:paraId="194622AD" w14:textId="0F0E0892" w:rsidR="00692324" w:rsidRDefault="00692324" w:rsidP="00B55E35">
            <w:pPr>
              <w:ind w:firstLine="318"/>
              <w:jc w:val="both"/>
              <w:rPr>
                <w:sz w:val="28"/>
                <w:szCs w:val="28"/>
              </w:rPr>
            </w:pPr>
            <w:r w:rsidRPr="00B55E35">
              <w:rPr>
                <w:sz w:val="28"/>
                <w:szCs w:val="28"/>
              </w:rPr>
              <w:t>Như vậy, đề nghị cơ quan chủ trì soạn thảo làm rõ tại dự thảo Tờ trình v</w:t>
            </w:r>
            <w:r>
              <w:rPr>
                <w:sz w:val="28"/>
                <w:szCs w:val="28"/>
              </w:rPr>
              <w:t>ấn</w:t>
            </w:r>
            <w:r w:rsidRPr="00B55E35">
              <w:rPr>
                <w:sz w:val="28"/>
                <w:szCs w:val="28"/>
              </w:rPr>
              <w:t xml:space="preserve"> đề doanh nghiệp dự án PPP thực hiện 07 dự án BOT trong lĩnh vực điện lực nêu tại trang 4 của dự thảo Tờ trình có thuộc đối tượng là người nộp thuế quy định tại Nghị quyết số 107/2023/QH15 (đơn vị hợp thành của tập đoàn đa quốc gia có doanh thu trong bảo cáo tài chính hợp nhất của công ty mẹ tối cao ít nhất 02 năm trong 04 năm liền kề trước năm tài chính tương đương 750 triệu euro (EUR) trở lên trừ một số trường hợp theo quy định).</w:t>
            </w:r>
          </w:p>
          <w:p w14:paraId="59DE0889" w14:textId="317C8C63" w:rsidR="00692324" w:rsidRDefault="00692324" w:rsidP="00F0604F">
            <w:pPr>
              <w:ind w:firstLine="318"/>
              <w:jc w:val="both"/>
              <w:rPr>
                <w:sz w:val="28"/>
                <w:szCs w:val="28"/>
              </w:rPr>
            </w:pPr>
            <w:r w:rsidRPr="00B55E35">
              <w:rPr>
                <w:sz w:val="28"/>
                <w:szCs w:val="28"/>
              </w:rPr>
              <w:t xml:space="preserve">Nếu trường hợp doanh nghiệp dự án PPP thực hiện 07 dự án BOT trong lĩnh vực điện lực nêu tại trang 4 của dự thảo Tờ trình không thuộc đối tượng là người nộp thuế quy định tại Nghị quyết số 107/2023/QH15 thì đề nghị cơ quan chủ trì soạn tháo trình Chính phủ </w:t>
            </w:r>
            <w:r w:rsidRPr="00B55E35">
              <w:rPr>
                <w:sz w:val="28"/>
                <w:szCs w:val="28"/>
              </w:rPr>
              <w:lastRenderedPageBreak/>
              <w:t>phương án phù hợp, đúng với quy định pháp luật hiện hành.</w:t>
            </w:r>
          </w:p>
        </w:tc>
        <w:tc>
          <w:tcPr>
            <w:tcW w:w="3749" w:type="dxa"/>
          </w:tcPr>
          <w:p w14:paraId="3EDCFF5D" w14:textId="77777777" w:rsidR="00692324" w:rsidRDefault="00692324" w:rsidP="0070455E">
            <w:pPr>
              <w:ind w:firstLine="323"/>
              <w:jc w:val="both"/>
              <w:rPr>
                <w:sz w:val="28"/>
                <w:szCs w:val="28"/>
              </w:rPr>
            </w:pPr>
            <w:r>
              <w:rPr>
                <w:sz w:val="28"/>
                <w:szCs w:val="28"/>
              </w:rPr>
              <w:lastRenderedPageBreak/>
              <w:t>Căn cứ khoản 1 Điều 45 Luật Đầu tư theo hình thức đối tác công tư năm 2020 về phân loại hợp đồng dự án PPP bao gồm: Hợp đồng BOT, BTO, BOO, O&amp;M, BTL, BLT.</w:t>
            </w:r>
          </w:p>
          <w:p w14:paraId="35FA5825" w14:textId="6D21A5A8" w:rsidR="00692324" w:rsidRDefault="00692324" w:rsidP="0070455E">
            <w:pPr>
              <w:ind w:firstLine="323"/>
              <w:jc w:val="both"/>
              <w:rPr>
                <w:sz w:val="28"/>
                <w:szCs w:val="28"/>
              </w:rPr>
            </w:pPr>
            <w:r>
              <w:rPr>
                <w:sz w:val="28"/>
                <w:szCs w:val="28"/>
              </w:rPr>
              <w:t>Tại dự thảo Tờ trình và dự thảo Nghị quyết đang đề xuất chính sách miễn áp dụng QDMTT đối với các dự án BOT điện (</w:t>
            </w:r>
            <w:r w:rsidRPr="00A630E9">
              <w:rPr>
                <w:iCs/>
                <w:sz w:val="28"/>
                <w:szCs w:val="28"/>
              </w:rPr>
              <w:t xml:space="preserve">các dự án nhà máy điện theo hình thức hợp đồng xây </w:t>
            </w:r>
            <w:r w:rsidRPr="00A630E9">
              <w:rPr>
                <w:iCs/>
                <w:sz w:val="28"/>
                <w:szCs w:val="28"/>
              </w:rPr>
              <w:lastRenderedPageBreak/>
              <w:t>dựng – kinh doanh – chuyển giao (BOT)</w:t>
            </w:r>
            <w:r>
              <w:rPr>
                <w:iCs/>
                <w:sz w:val="28"/>
                <w:szCs w:val="28"/>
              </w:rPr>
              <w:t>), không phải dự án PPP nói chung. Các dự án BOT điện nói trên đều thuộc Tập đoàn đa quốc gia thuộc đối tượng áp dụng của Nghị quyết 107/2023/QH15 (nội dung này Bộ Tài chính bổ sung vào dự thảo Tờ trình Chính phủ).</w:t>
            </w:r>
          </w:p>
        </w:tc>
      </w:tr>
      <w:tr w:rsidR="00692324" w:rsidRPr="00EA39AF" w14:paraId="02FB03A4" w14:textId="77777777" w:rsidTr="004D48E5">
        <w:tc>
          <w:tcPr>
            <w:tcW w:w="2263" w:type="dxa"/>
            <w:vMerge/>
          </w:tcPr>
          <w:p w14:paraId="715456DD" w14:textId="77777777" w:rsidR="00692324" w:rsidRPr="00EA39AF" w:rsidRDefault="00692324" w:rsidP="00683285">
            <w:pPr>
              <w:pStyle w:val="ListParagraph"/>
              <w:ind w:left="319"/>
              <w:rPr>
                <w:b/>
                <w:bCs/>
                <w:sz w:val="28"/>
                <w:szCs w:val="28"/>
              </w:rPr>
            </w:pPr>
          </w:p>
        </w:tc>
        <w:tc>
          <w:tcPr>
            <w:tcW w:w="2694" w:type="dxa"/>
            <w:vMerge/>
          </w:tcPr>
          <w:p w14:paraId="4B955F56" w14:textId="77777777" w:rsidR="00692324" w:rsidRDefault="00692324" w:rsidP="00683285">
            <w:pPr>
              <w:rPr>
                <w:sz w:val="28"/>
                <w:szCs w:val="28"/>
              </w:rPr>
            </w:pPr>
          </w:p>
        </w:tc>
        <w:tc>
          <w:tcPr>
            <w:tcW w:w="5244" w:type="dxa"/>
          </w:tcPr>
          <w:p w14:paraId="72C763F8" w14:textId="77777777" w:rsidR="00692324" w:rsidRDefault="00692324" w:rsidP="00F0604F">
            <w:pPr>
              <w:ind w:firstLine="318"/>
              <w:jc w:val="both"/>
              <w:rPr>
                <w:sz w:val="28"/>
                <w:szCs w:val="28"/>
              </w:rPr>
            </w:pPr>
            <w:r>
              <w:rPr>
                <w:sz w:val="28"/>
                <w:szCs w:val="28"/>
              </w:rPr>
              <w:t>*</w:t>
            </w:r>
            <w:r w:rsidRPr="00B55E35">
              <w:rPr>
                <w:sz w:val="28"/>
                <w:szCs w:val="28"/>
              </w:rPr>
              <w:t xml:space="preserve"> Về nội dung của quy định bổ sung tại khoản 1 Điều 1 của dự thảo Nghị quyết:</w:t>
            </w:r>
          </w:p>
          <w:p w14:paraId="6653268B" w14:textId="77777777" w:rsidR="00692324" w:rsidRDefault="00692324" w:rsidP="00F0604F">
            <w:pPr>
              <w:ind w:firstLine="318"/>
              <w:jc w:val="both"/>
              <w:rPr>
                <w:sz w:val="28"/>
                <w:szCs w:val="28"/>
              </w:rPr>
            </w:pPr>
            <w:r>
              <w:rPr>
                <w:sz w:val="28"/>
                <w:szCs w:val="28"/>
              </w:rPr>
              <w:t xml:space="preserve">- </w:t>
            </w:r>
            <w:r w:rsidRPr="00B55E35">
              <w:rPr>
                <w:sz w:val="28"/>
                <w:szCs w:val="28"/>
              </w:rPr>
              <w:t>Tại nội dung bổ sung dự thảo Nghị quyết quy định: “10. Số thuế thu nhập doanh nghiệp bổ sung tối thiểu nội địa đạt chuẩn sẽ được xác định bằng 0 (không) trong năm tài chính đối với các doanh nghiệp thực hiện dự án BOT điện có bảo lãnh Chính phủ (GGU).</w:t>
            </w:r>
          </w:p>
          <w:p w14:paraId="1EFA803C" w14:textId="77777777" w:rsidR="00692324" w:rsidRDefault="00692324" w:rsidP="00F0604F">
            <w:pPr>
              <w:ind w:firstLine="318"/>
              <w:jc w:val="both"/>
              <w:rPr>
                <w:sz w:val="28"/>
                <w:szCs w:val="28"/>
              </w:rPr>
            </w:pPr>
            <w:r w:rsidRPr="00B55E35">
              <w:rPr>
                <w:sz w:val="28"/>
                <w:szCs w:val="28"/>
              </w:rPr>
              <w:t>Trường hợp doanh nghiệp thực hiện dự án BOT điện có bảo lành Chỉnh phủ (GGU) là đơn vị hợp thành của tập đoàn đa quốc gia có nhiều hơn một đơn vị hợp thành tại Việt Nam thì số thuế thu nhập doanh nghiệp bổ sung tối thiểu nội địa đạt chuẩn đối với doanh nghiệp này là số thuế được phân bố theo tiêu chỉ thu nhập từ số thuế thu nhập doanh nghiệp bổ sung tối thiểu nội địa đạt chuẩn của tập đoàn đa quốc gia",</w:t>
            </w:r>
          </w:p>
          <w:p w14:paraId="0B163A31" w14:textId="77777777" w:rsidR="00692324" w:rsidRDefault="00692324" w:rsidP="00F0604F">
            <w:pPr>
              <w:ind w:firstLine="318"/>
              <w:jc w:val="both"/>
              <w:rPr>
                <w:sz w:val="28"/>
                <w:szCs w:val="28"/>
              </w:rPr>
            </w:pPr>
            <w:r w:rsidRPr="00B55E35">
              <w:rPr>
                <w:sz w:val="28"/>
                <w:szCs w:val="28"/>
              </w:rPr>
              <w:t>Đề nghị cơ quan chủ trì soạn thảo giải trình làm rõ các vấn đề sau:</w:t>
            </w:r>
          </w:p>
          <w:p w14:paraId="6EC32CB6" w14:textId="77777777" w:rsidR="00692324" w:rsidRDefault="00692324" w:rsidP="00F0604F">
            <w:pPr>
              <w:ind w:firstLine="318"/>
              <w:jc w:val="both"/>
              <w:rPr>
                <w:sz w:val="28"/>
                <w:szCs w:val="28"/>
              </w:rPr>
            </w:pPr>
            <w:r w:rsidRPr="00B55E35">
              <w:rPr>
                <w:sz w:val="28"/>
                <w:szCs w:val="28"/>
              </w:rPr>
              <w:lastRenderedPageBreak/>
              <w:t>- Số lượng doanh nghiệp thực hiện dự án BOT điện có bảo lãnh Chính phủ (GGU) được thụ hưởng chính sách tại quy định này là bao nhiêu doanh nghiệp và các doanh nghiệp này có đúng là người nộp thuế quy định tại khoản 1 Điều 2 Nghị quyết số 107/2023/QH15 và Điều 3 Nghị định số 236/2025/NĐ-CP hay không?</w:t>
            </w:r>
          </w:p>
          <w:p w14:paraId="3C77343E" w14:textId="51462A19" w:rsidR="00692324" w:rsidRDefault="00692324" w:rsidP="00F0604F">
            <w:pPr>
              <w:ind w:firstLine="318"/>
              <w:jc w:val="both"/>
              <w:rPr>
                <w:sz w:val="28"/>
                <w:szCs w:val="28"/>
              </w:rPr>
            </w:pPr>
            <w:r w:rsidRPr="00B55E35">
              <w:rPr>
                <w:sz w:val="28"/>
                <w:szCs w:val="28"/>
              </w:rPr>
              <w:t>- Quy định “số thuế được phân bổ theo tiêu chỉ thu nhập từ số thuế thu nhập doanh nghiệp bổ sung tối thiểu nội địa đạt chuẩn của tập đoàn đa quốc gia" thì tiêu chí phân bổ này do cơ quan quản lý nhà nước quy định hay tập đoàn đa quốc gia phân bổ?; đồng thời, đề nghị cơ quan chủ trì soạn thảo bổ sung giải trình làm rõ căn cứ pháp lý của quy định này.</w:t>
            </w:r>
          </w:p>
        </w:tc>
        <w:tc>
          <w:tcPr>
            <w:tcW w:w="3749" w:type="dxa"/>
          </w:tcPr>
          <w:p w14:paraId="36EE2576" w14:textId="46764571" w:rsidR="00692324" w:rsidRDefault="00692324" w:rsidP="00A37F5C">
            <w:pPr>
              <w:ind w:firstLine="323"/>
              <w:jc w:val="both"/>
              <w:rPr>
                <w:sz w:val="28"/>
                <w:szCs w:val="28"/>
              </w:rPr>
            </w:pPr>
            <w:r>
              <w:rPr>
                <w:sz w:val="28"/>
                <w:szCs w:val="28"/>
              </w:rPr>
              <w:lastRenderedPageBreak/>
              <w:t xml:space="preserve">- Về số lượng doanh nghiệp thực hiện dự án BOT điện có bảo lãnh Chính phủ (GGU): Nội dung này đã được đề cập tại điểm 2.1 Mục I dự thảo Tờ trình Chính phủ. </w:t>
            </w:r>
            <w:r w:rsidR="00AB2573">
              <w:rPr>
                <w:sz w:val="28"/>
                <w:szCs w:val="28"/>
              </w:rPr>
              <w:t xml:space="preserve">Các Dự án BOT điện áp dụng Nghị quyết này phải là </w:t>
            </w:r>
            <w:r w:rsidR="00AB2573">
              <w:rPr>
                <w:sz w:val="28"/>
                <w:szCs w:val="28"/>
              </w:rPr>
              <w:t>Hợp đồng Xây dựng – Vận hành – Chuyển giao có cam kết về thuế và được ký kết trước ngày Nghị quyết 107/2023/QH15 có hiệu lực thi hành (1/1/2024)</w:t>
            </w:r>
            <w:r w:rsidR="00AB2573">
              <w:rPr>
                <w:sz w:val="28"/>
                <w:szCs w:val="28"/>
              </w:rPr>
              <w:t>. B</w:t>
            </w:r>
            <w:r>
              <w:rPr>
                <w:sz w:val="28"/>
                <w:szCs w:val="28"/>
              </w:rPr>
              <w:t>ộ Tài chính bổ sung vào dự thảo Tờ trình Chính phủ, làm rõ thêm rằng các doanh nghiệp này đều thuộc đối tượng áp dụng Nghị quyết số 107/2023/QH15</w:t>
            </w:r>
            <w:r w:rsidR="00AB2573">
              <w:rPr>
                <w:sz w:val="28"/>
                <w:szCs w:val="28"/>
              </w:rPr>
              <w:t xml:space="preserve"> và hoàn thiện thêm dự thảo Nghị quyết.</w:t>
            </w:r>
          </w:p>
          <w:p w14:paraId="0951051C" w14:textId="50B137AA" w:rsidR="00692324" w:rsidRDefault="00692324" w:rsidP="00A37F5C">
            <w:pPr>
              <w:ind w:firstLine="323"/>
              <w:jc w:val="both"/>
              <w:rPr>
                <w:sz w:val="28"/>
                <w:szCs w:val="28"/>
              </w:rPr>
            </w:pPr>
            <w:r>
              <w:rPr>
                <w:sz w:val="28"/>
                <w:szCs w:val="28"/>
              </w:rPr>
              <w:t>- Về quy định số thuế được phân bổ theo tiêu chí thu nhập:</w:t>
            </w:r>
          </w:p>
          <w:p w14:paraId="39B146A8" w14:textId="01115F99" w:rsidR="00692324" w:rsidRDefault="00692324" w:rsidP="00A37F5C">
            <w:pPr>
              <w:ind w:firstLine="323"/>
              <w:jc w:val="both"/>
              <w:rPr>
                <w:sz w:val="28"/>
                <w:szCs w:val="28"/>
              </w:rPr>
            </w:pPr>
            <w:r>
              <w:rPr>
                <w:sz w:val="28"/>
                <w:szCs w:val="28"/>
              </w:rPr>
              <w:lastRenderedPageBreak/>
              <w:t>Khoản 10 Điều 4 Nghị quyết số 107/2023/QH15 quy định: “</w:t>
            </w:r>
            <w:r w:rsidRPr="00756F08">
              <w:rPr>
                <w:i/>
                <w:iCs/>
                <w:sz w:val="28"/>
                <w:szCs w:val="28"/>
              </w:rPr>
              <w:t>10. Chính phủ quy định chi tiết Điều này</w:t>
            </w:r>
            <w:r>
              <w:rPr>
                <w:sz w:val="28"/>
                <w:szCs w:val="28"/>
              </w:rPr>
              <w:t>”.</w:t>
            </w:r>
          </w:p>
          <w:p w14:paraId="7E802B7B" w14:textId="637EBB97" w:rsidR="00692324" w:rsidRDefault="00692324" w:rsidP="00A37F5C">
            <w:pPr>
              <w:ind w:firstLine="323"/>
              <w:jc w:val="both"/>
              <w:rPr>
                <w:sz w:val="28"/>
                <w:szCs w:val="28"/>
              </w:rPr>
            </w:pPr>
            <w:r>
              <w:rPr>
                <w:sz w:val="28"/>
                <w:szCs w:val="28"/>
              </w:rPr>
              <w:t xml:space="preserve">Ngày 29/8/2025, Chính phủ ban hành Nghị định 236/2025/NĐ-CP quy định chi tiết Nghị quyết số 107/2023/QH15, trong đó quy định cụ thể cách phân bổ, tính toán số thuế TNDN bổ sung giữa các đơn vị hợp thành trong tập đoàn đa quốc gia theo tiêu chí thu nhập. </w:t>
            </w:r>
          </w:p>
          <w:p w14:paraId="441C0BBC" w14:textId="50FFB2D0" w:rsidR="00692324" w:rsidRDefault="00692324" w:rsidP="00A37F5C">
            <w:pPr>
              <w:ind w:firstLine="323"/>
              <w:jc w:val="both"/>
              <w:rPr>
                <w:sz w:val="28"/>
                <w:szCs w:val="28"/>
              </w:rPr>
            </w:pPr>
            <w:r>
              <w:rPr>
                <w:sz w:val="28"/>
                <w:szCs w:val="28"/>
              </w:rPr>
              <w:t xml:space="preserve">Do đó, trường hợp Nghị quyết này được ban hành thì các dự án BOT điện cũng sẽ phải áp dụng Nghị định 236/2025/NĐ-CP nêu trên để </w:t>
            </w:r>
            <w:r w:rsidR="003577EA">
              <w:rPr>
                <w:sz w:val="28"/>
                <w:szCs w:val="28"/>
              </w:rPr>
              <w:t xml:space="preserve">tính toán số thuế bổ sung khi </w:t>
            </w:r>
            <w:r>
              <w:rPr>
                <w:sz w:val="28"/>
                <w:szCs w:val="28"/>
              </w:rPr>
              <w:t>thực hiện áp dụng Nghị quyết 107/2023/QH15.</w:t>
            </w:r>
          </w:p>
        </w:tc>
      </w:tr>
      <w:tr w:rsidR="00692324" w:rsidRPr="00EA39AF" w14:paraId="1ABFB59D" w14:textId="77777777" w:rsidTr="004D48E5">
        <w:tc>
          <w:tcPr>
            <w:tcW w:w="2263" w:type="dxa"/>
            <w:vMerge/>
          </w:tcPr>
          <w:p w14:paraId="7DF15246" w14:textId="77777777" w:rsidR="00692324" w:rsidRPr="00EA39AF" w:rsidRDefault="00692324" w:rsidP="00683285">
            <w:pPr>
              <w:pStyle w:val="ListParagraph"/>
              <w:ind w:left="319"/>
              <w:rPr>
                <w:b/>
                <w:bCs/>
                <w:sz w:val="28"/>
                <w:szCs w:val="28"/>
              </w:rPr>
            </w:pPr>
          </w:p>
        </w:tc>
        <w:tc>
          <w:tcPr>
            <w:tcW w:w="2694" w:type="dxa"/>
            <w:vMerge/>
          </w:tcPr>
          <w:p w14:paraId="2DEE5139" w14:textId="77777777" w:rsidR="00692324" w:rsidRDefault="00692324" w:rsidP="00683285">
            <w:pPr>
              <w:rPr>
                <w:sz w:val="28"/>
                <w:szCs w:val="28"/>
              </w:rPr>
            </w:pPr>
          </w:p>
        </w:tc>
        <w:tc>
          <w:tcPr>
            <w:tcW w:w="5244" w:type="dxa"/>
          </w:tcPr>
          <w:p w14:paraId="47A6F764" w14:textId="77777777" w:rsidR="00692324" w:rsidRDefault="00692324" w:rsidP="00F0604F">
            <w:pPr>
              <w:ind w:firstLine="318"/>
              <w:jc w:val="both"/>
              <w:rPr>
                <w:sz w:val="28"/>
                <w:szCs w:val="28"/>
              </w:rPr>
            </w:pPr>
            <w:r>
              <w:rPr>
                <w:sz w:val="28"/>
                <w:szCs w:val="28"/>
              </w:rPr>
              <w:t>*</w:t>
            </w:r>
            <w:r w:rsidRPr="00B55E35">
              <w:rPr>
                <w:sz w:val="28"/>
                <w:szCs w:val="28"/>
              </w:rPr>
              <w:t xml:space="preserve"> Về số liệu đánh giá tác động:</w:t>
            </w:r>
          </w:p>
          <w:p w14:paraId="2AAED30C" w14:textId="643BFDBE" w:rsidR="00692324" w:rsidRDefault="00692324" w:rsidP="00F0604F">
            <w:pPr>
              <w:ind w:firstLine="318"/>
              <w:jc w:val="both"/>
              <w:rPr>
                <w:sz w:val="28"/>
                <w:szCs w:val="28"/>
              </w:rPr>
            </w:pPr>
            <w:r w:rsidRPr="00B55E35">
              <w:rPr>
                <w:sz w:val="28"/>
                <w:szCs w:val="28"/>
              </w:rPr>
              <w:lastRenderedPageBreak/>
              <w:t>Bộ Khoa học và Công nghệ cho rằng việc đánh giá tác động về tổng số thuế TNDN bổ sung các dự án BOT trong lĩnh vực điện lực đang được Chính phủ bảo lãnh phải nộp dự kiến là chưa đầy đủ, chính xác, lý do: tại khổ thứ 4 trang 4 Tờ trình số 568/TTr-BTC có nêu: “Như vậy, tổng số thuế TNDN bổ sung các dự án phải nộp dự kiến của 6/7 dự án BOT điện nêu trên là 425,83 triều USD (trong đó có Dự án Duyên Hải 2 chưa có số liệu đánh giá tác động).</w:t>
            </w:r>
            <w:r>
              <w:rPr>
                <w:sz w:val="28"/>
                <w:szCs w:val="28"/>
              </w:rPr>
              <w:t>”</w:t>
            </w:r>
          </w:p>
        </w:tc>
        <w:tc>
          <w:tcPr>
            <w:tcW w:w="3749" w:type="dxa"/>
          </w:tcPr>
          <w:p w14:paraId="0FE336F3" w14:textId="2F8CADB6" w:rsidR="00692324" w:rsidRDefault="00692324" w:rsidP="00A37F5C">
            <w:pPr>
              <w:ind w:firstLine="323"/>
              <w:jc w:val="both"/>
              <w:rPr>
                <w:sz w:val="28"/>
                <w:szCs w:val="28"/>
              </w:rPr>
            </w:pPr>
            <w:r>
              <w:rPr>
                <w:sz w:val="28"/>
                <w:szCs w:val="28"/>
              </w:rPr>
              <w:lastRenderedPageBreak/>
              <w:t xml:space="preserve">Số liệu đánh giá tác động của các Dự án được tổng hợp dựa </w:t>
            </w:r>
            <w:r>
              <w:rPr>
                <w:sz w:val="28"/>
                <w:szCs w:val="28"/>
              </w:rPr>
              <w:lastRenderedPageBreak/>
              <w:t xml:space="preserve">trên công văn số </w:t>
            </w:r>
            <w:r w:rsidRPr="00A37F5C">
              <w:rPr>
                <w:sz w:val="28"/>
                <w:szCs w:val="28"/>
              </w:rPr>
              <w:t>3910/BCT-ĐB ngày 30/5/2025 của Bộ Công thương và Báo cáo số 278/BC-BTC ngày 25/6/2025 của Bộ Tài chính</w:t>
            </w:r>
            <w:r>
              <w:rPr>
                <w:sz w:val="28"/>
                <w:szCs w:val="28"/>
              </w:rPr>
              <w:t>, tổng hợp trực tiếp từ các doanh nghiệp thực hiện dự án BOT điện. Ngoài ra, Dự án Duyên Hải 2 chưa có ước tính chính xác về số thuế bổ sung phải nộp, do đó Bộ Tài chính chưa thể tổng hợp đầy đủ.</w:t>
            </w:r>
          </w:p>
        </w:tc>
      </w:tr>
      <w:tr w:rsidR="00692324" w:rsidRPr="00EA39AF" w14:paraId="39BD39CD" w14:textId="77777777" w:rsidTr="004D48E5">
        <w:tc>
          <w:tcPr>
            <w:tcW w:w="2263" w:type="dxa"/>
            <w:vMerge/>
          </w:tcPr>
          <w:p w14:paraId="6A7035FA" w14:textId="77777777" w:rsidR="00692324" w:rsidRPr="00EA39AF" w:rsidRDefault="00692324" w:rsidP="00683285">
            <w:pPr>
              <w:pStyle w:val="ListParagraph"/>
              <w:ind w:left="319"/>
              <w:rPr>
                <w:b/>
                <w:bCs/>
                <w:sz w:val="28"/>
                <w:szCs w:val="28"/>
              </w:rPr>
            </w:pPr>
          </w:p>
        </w:tc>
        <w:tc>
          <w:tcPr>
            <w:tcW w:w="2694" w:type="dxa"/>
            <w:vMerge/>
          </w:tcPr>
          <w:p w14:paraId="6DD3B46C" w14:textId="77777777" w:rsidR="00692324" w:rsidRDefault="00692324" w:rsidP="00683285">
            <w:pPr>
              <w:rPr>
                <w:sz w:val="28"/>
                <w:szCs w:val="28"/>
              </w:rPr>
            </w:pPr>
          </w:p>
        </w:tc>
        <w:tc>
          <w:tcPr>
            <w:tcW w:w="5244" w:type="dxa"/>
          </w:tcPr>
          <w:p w14:paraId="2B5F478A" w14:textId="77777777" w:rsidR="00692324" w:rsidRDefault="00692324" w:rsidP="00F0604F">
            <w:pPr>
              <w:ind w:firstLine="318"/>
              <w:jc w:val="both"/>
              <w:rPr>
                <w:sz w:val="28"/>
                <w:szCs w:val="28"/>
              </w:rPr>
            </w:pPr>
            <w:r>
              <w:rPr>
                <w:sz w:val="28"/>
                <w:szCs w:val="28"/>
              </w:rPr>
              <w:t>*</w:t>
            </w:r>
            <w:r w:rsidRPr="00B55E35">
              <w:rPr>
                <w:sz w:val="28"/>
                <w:szCs w:val="28"/>
              </w:rPr>
              <w:t xml:space="preserve"> Đối với nội dung thuế TNDN bổ sung tối thiểu nội địa đạt chuẩn (QDMTT) bằng không (0) đối với các doanh nghiệp thực hiện dự án BOT điện có bảo lãnh Chính phủ (GGU):</w:t>
            </w:r>
          </w:p>
          <w:p w14:paraId="0148395A" w14:textId="77777777" w:rsidR="00692324" w:rsidRDefault="00692324" w:rsidP="00F0604F">
            <w:pPr>
              <w:ind w:firstLine="318"/>
              <w:jc w:val="both"/>
              <w:rPr>
                <w:sz w:val="28"/>
                <w:szCs w:val="28"/>
              </w:rPr>
            </w:pPr>
            <w:r w:rsidRPr="00B55E35">
              <w:rPr>
                <w:sz w:val="28"/>
                <w:szCs w:val="28"/>
              </w:rPr>
              <w:t xml:space="preserve">Tổng quan chung, Bộ Khoa học và Công nghệ kiến nghị vẫn áp dụng QDMTT theo chuẩn mực quốc tế để giữ quyền thu, uy tín và đòn bẩy chính sách; với các dự án BOT có GGU ký trước, Chính phủ xem xét hỗ trợ phi thuế có điều kiện nhằm bảo đảm ổn định pháp lý, lợi ích quốc gia và thúc đẩy chuyển giao </w:t>
            </w:r>
            <w:r w:rsidRPr="00B55E35">
              <w:rPr>
                <w:sz w:val="28"/>
                <w:szCs w:val="28"/>
              </w:rPr>
              <w:lastRenderedPageBreak/>
              <w:t>công nghệ, biến nghĩa vụ quốc tế thành cơ hội nâng cấp công nghệ và thu hút đầu tư chất lượng cao.</w:t>
            </w:r>
          </w:p>
          <w:p w14:paraId="6DBD960F" w14:textId="46ED9359" w:rsidR="00692324" w:rsidRDefault="00692324" w:rsidP="00F0604F">
            <w:pPr>
              <w:ind w:firstLine="318"/>
              <w:jc w:val="both"/>
              <w:rPr>
                <w:sz w:val="28"/>
                <w:szCs w:val="28"/>
              </w:rPr>
            </w:pPr>
            <w:r w:rsidRPr="00B55E35">
              <w:rPr>
                <w:sz w:val="28"/>
                <w:szCs w:val="28"/>
              </w:rPr>
              <w:t>Trên cơ sở đó, đề nghị cân nhắc phương án quy định mức thuế TNDN bổ sung tối thiểu nội địa bằng 0% cho các dự án BOT điện có GGU phù hợp, lý do: về bản chất không mang lại lợi ích cho nhà đầu tư, trong khi Việt Nam mất quyền thu, giảm hiệu quả công cụ điều tiết, phát triển công nghệ và tạo tiền lệ đối với các lĩnh vực khác có yêu cầu tương tự.</w:t>
            </w:r>
          </w:p>
        </w:tc>
        <w:tc>
          <w:tcPr>
            <w:tcW w:w="3749" w:type="dxa"/>
          </w:tcPr>
          <w:p w14:paraId="1D329CFC" w14:textId="17113FC1" w:rsidR="00692324" w:rsidRDefault="00692324" w:rsidP="0086010F">
            <w:pPr>
              <w:ind w:firstLine="323"/>
              <w:jc w:val="both"/>
              <w:rPr>
                <w:sz w:val="28"/>
                <w:szCs w:val="28"/>
              </w:rPr>
            </w:pPr>
            <w:r>
              <w:rPr>
                <w:sz w:val="28"/>
                <w:szCs w:val="28"/>
              </w:rPr>
              <w:lastRenderedPageBreak/>
              <w:t xml:space="preserve">Thuế TNDN bổ sung tối thiểu nội địa đạt chuẩn (QDMTT) được áp dụng đối với đơn vị hợp thành hoặc tập hợp các đơn vị hợp thành của tập đoàn đa quốc gia có hoạt động sản xuất kinh doanh tại Việt Nam. Tức là trường hợp Tập đoàn đa quốc gia có nhiều hơn 1 đơn vị hợp thành tại Việt Nam thì thuế TNDN bổ sung sẽ phân bổ cho các đơn vị hợp </w:t>
            </w:r>
            <w:r>
              <w:rPr>
                <w:sz w:val="28"/>
                <w:szCs w:val="28"/>
              </w:rPr>
              <w:lastRenderedPageBreak/>
              <w:t>thành trong cùng tập đoàn theo tiêu chí thu nhập, và Việt Nam sẽ thu toàn bộ số thuế của toàn Tập đoàn. Và thuế suất tối thiểu 15% được áp dụng cho toàn tập đoàn. Do đó, không thể quy định riêng thuế suất là 0% cho các dự án BOT điện.</w:t>
            </w:r>
          </w:p>
        </w:tc>
      </w:tr>
      <w:tr w:rsidR="00692324" w:rsidRPr="00EA39AF" w14:paraId="1E2B190D" w14:textId="77777777" w:rsidTr="004D48E5">
        <w:tc>
          <w:tcPr>
            <w:tcW w:w="2263" w:type="dxa"/>
            <w:vMerge/>
          </w:tcPr>
          <w:p w14:paraId="64CFF6C7" w14:textId="77777777" w:rsidR="00692324" w:rsidRPr="00EA39AF" w:rsidRDefault="00692324" w:rsidP="00683285">
            <w:pPr>
              <w:pStyle w:val="ListParagraph"/>
              <w:ind w:left="319"/>
              <w:rPr>
                <w:b/>
                <w:bCs/>
                <w:sz w:val="28"/>
                <w:szCs w:val="28"/>
              </w:rPr>
            </w:pPr>
          </w:p>
        </w:tc>
        <w:tc>
          <w:tcPr>
            <w:tcW w:w="2694" w:type="dxa"/>
            <w:vMerge/>
          </w:tcPr>
          <w:p w14:paraId="193B19F2" w14:textId="77777777" w:rsidR="00692324" w:rsidRDefault="00692324" w:rsidP="00683285">
            <w:pPr>
              <w:rPr>
                <w:sz w:val="28"/>
                <w:szCs w:val="28"/>
              </w:rPr>
            </w:pPr>
          </w:p>
        </w:tc>
        <w:tc>
          <w:tcPr>
            <w:tcW w:w="5244" w:type="dxa"/>
          </w:tcPr>
          <w:p w14:paraId="0B5F10BD" w14:textId="766CC550" w:rsidR="00692324" w:rsidRDefault="00692324" w:rsidP="00F0604F">
            <w:pPr>
              <w:ind w:firstLine="318"/>
              <w:jc w:val="both"/>
              <w:rPr>
                <w:sz w:val="28"/>
                <w:szCs w:val="28"/>
              </w:rPr>
            </w:pPr>
            <w:r>
              <w:rPr>
                <w:sz w:val="28"/>
                <w:szCs w:val="28"/>
              </w:rPr>
              <w:t>*</w:t>
            </w:r>
            <w:r w:rsidRPr="00B55E35">
              <w:rPr>
                <w:sz w:val="28"/>
                <w:szCs w:val="28"/>
              </w:rPr>
              <w:t xml:space="preserve"> Đề nghị tham khảo ý kiến của Bộ Ngoại giao để rà soát cam kết, phương án quản lý và kinh nghiệm quốc tế đối với dự án BOT điện có bảo lãnh Chính phủ áp dụng QDMTT, làm rõ nội dung Việt Nam phải tuân thủ hoặc có thể thương lượng, bảo đảm chính sách miễn, giảm thuế hoặc ưu đãi phù hợp cam kết quốc tế và bảo vệ lợi ích quốc gia.</w:t>
            </w:r>
          </w:p>
        </w:tc>
        <w:tc>
          <w:tcPr>
            <w:tcW w:w="3749" w:type="dxa"/>
          </w:tcPr>
          <w:p w14:paraId="5911E27F" w14:textId="3E5A8F22" w:rsidR="00692324" w:rsidRDefault="001110DA" w:rsidP="001110DA">
            <w:pPr>
              <w:ind w:firstLine="323"/>
              <w:jc w:val="both"/>
              <w:rPr>
                <w:sz w:val="28"/>
                <w:szCs w:val="28"/>
              </w:rPr>
            </w:pPr>
            <w:r>
              <w:rPr>
                <w:sz w:val="28"/>
                <w:szCs w:val="28"/>
              </w:rPr>
              <w:t>Hiện tại</w:t>
            </w:r>
            <w:r w:rsidR="00797815">
              <w:rPr>
                <w:sz w:val="28"/>
                <w:szCs w:val="28"/>
              </w:rPr>
              <w:t>,</w:t>
            </w:r>
            <w:r>
              <w:rPr>
                <w:sz w:val="28"/>
                <w:szCs w:val="28"/>
              </w:rPr>
              <w:t xml:space="preserve"> </w:t>
            </w:r>
            <w:r w:rsidR="005B7589">
              <w:rPr>
                <w:sz w:val="28"/>
                <w:szCs w:val="28"/>
              </w:rPr>
              <w:t>Bộ Tài chính</w:t>
            </w:r>
            <w:r>
              <w:rPr>
                <w:sz w:val="28"/>
                <w:szCs w:val="28"/>
              </w:rPr>
              <w:t xml:space="preserve"> chưa </w:t>
            </w:r>
            <w:r w:rsidR="005B7589">
              <w:rPr>
                <w:sz w:val="28"/>
                <w:szCs w:val="28"/>
              </w:rPr>
              <w:t>nhận được</w:t>
            </w:r>
            <w:r>
              <w:rPr>
                <w:sz w:val="28"/>
                <w:szCs w:val="28"/>
              </w:rPr>
              <w:t xml:space="preserve"> công văn tham gia ý kiến đối với dự thảo Nghị quyết</w:t>
            </w:r>
            <w:r w:rsidR="005B7589">
              <w:rPr>
                <w:sz w:val="28"/>
                <w:szCs w:val="28"/>
              </w:rPr>
              <w:t xml:space="preserve"> của Bộ Ngoại giao</w:t>
            </w:r>
            <w:r>
              <w:rPr>
                <w:sz w:val="28"/>
                <w:szCs w:val="28"/>
              </w:rPr>
              <w:t>. Bộ Tài chính sẽ cân nhắc và xem xét khi có ý kiến tham gia của Bộ Ngoại giao liên quan đến vấn đề này.</w:t>
            </w:r>
          </w:p>
        </w:tc>
      </w:tr>
      <w:tr w:rsidR="00692324" w:rsidRPr="00EA39AF" w14:paraId="1C61CE2A" w14:textId="77777777" w:rsidTr="00B51AD3">
        <w:tc>
          <w:tcPr>
            <w:tcW w:w="2263" w:type="dxa"/>
            <w:vMerge w:val="restart"/>
            <w:vAlign w:val="center"/>
          </w:tcPr>
          <w:p w14:paraId="5488829D" w14:textId="7D47A62D" w:rsidR="00692324" w:rsidRPr="00683285" w:rsidRDefault="00692324" w:rsidP="00B51AD3">
            <w:pPr>
              <w:jc w:val="center"/>
              <w:rPr>
                <w:b/>
                <w:bCs/>
                <w:sz w:val="28"/>
                <w:szCs w:val="28"/>
              </w:rPr>
            </w:pPr>
            <w:r>
              <w:rPr>
                <w:b/>
                <w:bCs/>
                <w:sz w:val="28"/>
                <w:szCs w:val="28"/>
              </w:rPr>
              <w:t xml:space="preserve">Chính sách 2: Cơ chế giao Chính phủ xử lý </w:t>
            </w:r>
            <w:r>
              <w:rPr>
                <w:b/>
                <w:bCs/>
                <w:sz w:val="28"/>
                <w:szCs w:val="28"/>
              </w:rPr>
              <w:lastRenderedPageBreak/>
              <w:t>các đề nghị đảm bảo ưu đãi đầu tư</w:t>
            </w:r>
          </w:p>
        </w:tc>
        <w:tc>
          <w:tcPr>
            <w:tcW w:w="2694" w:type="dxa"/>
            <w:vAlign w:val="center"/>
          </w:tcPr>
          <w:p w14:paraId="1407A54B" w14:textId="3392B94E" w:rsidR="00692324" w:rsidRPr="00EA39AF" w:rsidRDefault="00692324" w:rsidP="00404FD3">
            <w:pPr>
              <w:jc w:val="center"/>
              <w:rPr>
                <w:sz w:val="28"/>
                <w:szCs w:val="28"/>
              </w:rPr>
            </w:pPr>
            <w:r>
              <w:rPr>
                <w:sz w:val="28"/>
                <w:szCs w:val="28"/>
              </w:rPr>
              <w:lastRenderedPageBreak/>
              <w:t>Bộ Công Thương</w:t>
            </w:r>
          </w:p>
        </w:tc>
        <w:tc>
          <w:tcPr>
            <w:tcW w:w="5244" w:type="dxa"/>
          </w:tcPr>
          <w:p w14:paraId="045CE313" w14:textId="1ABAA6EC" w:rsidR="00692324" w:rsidRPr="00EA39AF" w:rsidRDefault="00692324" w:rsidP="003B0FEA">
            <w:pPr>
              <w:ind w:firstLine="318"/>
              <w:jc w:val="both"/>
              <w:rPr>
                <w:sz w:val="28"/>
                <w:szCs w:val="28"/>
              </w:rPr>
            </w:pPr>
            <w:r>
              <w:rPr>
                <w:sz w:val="28"/>
                <w:szCs w:val="28"/>
              </w:rPr>
              <w:t xml:space="preserve">Theo Bộ Tài chính, nội dung sửa đổi, bổ sung này nhằm bổ sung cơ chế giao Chính phủ xem xét các đề nghị được đảm bảo ưu đãi </w:t>
            </w:r>
            <w:r>
              <w:rPr>
                <w:sz w:val="28"/>
                <w:szCs w:val="28"/>
              </w:rPr>
              <w:lastRenderedPageBreak/>
              <w:t>đầu tư đối với các trường hợp khác không lường trước được. Vì vậy, Bộ Tài chính cần làm rõ thêm về sự cần thiết bổ sung cơ chế này để báo cáo Chính phủ xem xét, quyết định</w:t>
            </w:r>
          </w:p>
        </w:tc>
        <w:tc>
          <w:tcPr>
            <w:tcW w:w="3749" w:type="dxa"/>
          </w:tcPr>
          <w:p w14:paraId="7A80058C" w14:textId="48CC9847" w:rsidR="00692324" w:rsidRPr="00EA39AF" w:rsidRDefault="00692324" w:rsidP="003B0FEA">
            <w:pPr>
              <w:ind w:firstLine="313"/>
              <w:jc w:val="both"/>
              <w:rPr>
                <w:sz w:val="28"/>
                <w:szCs w:val="28"/>
              </w:rPr>
            </w:pPr>
            <w:r>
              <w:rPr>
                <w:sz w:val="28"/>
                <w:szCs w:val="28"/>
              </w:rPr>
              <w:lastRenderedPageBreak/>
              <w:t xml:space="preserve">Tại dự thảo Tờ trình Chính phủ, Bộ Tài chính đã trình bày 4 lý do về sự cần thiết bổ sung </w:t>
            </w:r>
            <w:r>
              <w:rPr>
                <w:sz w:val="28"/>
                <w:szCs w:val="28"/>
              </w:rPr>
              <w:lastRenderedPageBreak/>
              <w:t>cơ chế giao Chính phủ xem xét các đề nghị được bảo đảm ưu đãi đầu tư (cụ thể báo cáo tại điểm 2.2 Mục I dự thảo Tờ trình Chính phủ). Bộ Tài chính tiếp thu và làm rõ thêm về sự cần thiết bổ sung cơ chế này tại điểm 2.2 Mục I, nêu rõ sự cần thiết về việc phân quyền, phân cấp hợp lý giữa Quốc hội và Chính phủ.</w:t>
            </w:r>
          </w:p>
        </w:tc>
      </w:tr>
      <w:tr w:rsidR="00692324" w:rsidRPr="00EA39AF" w14:paraId="1DAB3441" w14:textId="77777777" w:rsidTr="00404FD3">
        <w:tc>
          <w:tcPr>
            <w:tcW w:w="2263" w:type="dxa"/>
            <w:vMerge/>
          </w:tcPr>
          <w:p w14:paraId="5C24949C" w14:textId="77777777" w:rsidR="00692324" w:rsidRDefault="00692324" w:rsidP="00683285">
            <w:pPr>
              <w:rPr>
                <w:b/>
                <w:bCs/>
                <w:sz w:val="28"/>
                <w:szCs w:val="28"/>
              </w:rPr>
            </w:pPr>
          </w:p>
        </w:tc>
        <w:tc>
          <w:tcPr>
            <w:tcW w:w="2694" w:type="dxa"/>
            <w:vAlign w:val="center"/>
          </w:tcPr>
          <w:p w14:paraId="02661691" w14:textId="4A0DB061" w:rsidR="00692324" w:rsidRDefault="00692324" w:rsidP="00404FD3">
            <w:pPr>
              <w:jc w:val="center"/>
              <w:rPr>
                <w:sz w:val="28"/>
                <w:szCs w:val="28"/>
              </w:rPr>
            </w:pPr>
            <w:r>
              <w:rPr>
                <w:sz w:val="28"/>
                <w:szCs w:val="28"/>
              </w:rPr>
              <w:t>Bộ Khoa học và Công nghệ</w:t>
            </w:r>
          </w:p>
        </w:tc>
        <w:tc>
          <w:tcPr>
            <w:tcW w:w="5244" w:type="dxa"/>
          </w:tcPr>
          <w:p w14:paraId="5BB62544" w14:textId="77777777" w:rsidR="00692324" w:rsidRDefault="00692324" w:rsidP="00700B07">
            <w:pPr>
              <w:ind w:firstLine="318"/>
              <w:jc w:val="both"/>
              <w:rPr>
                <w:sz w:val="28"/>
                <w:szCs w:val="28"/>
              </w:rPr>
            </w:pPr>
            <w:r>
              <w:rPr>
                <w:sz w:val="28"/>
                <w:szCs w:val="28"/>
              </w:rPr>
              <w:t>*</w:t>
            </w:r>
            <w:r w:rsidRPr="00B55E35">
              <w:rPr>
                <w:sz w:val="28"/>
                <w:szCs w:val="28"/>
              </w:rPr>
              <w:t xml:space="preserve"> Đối với nội dung về cơ chế giao Chính phủ xem xét, giải quyết các đề nghị đảm bảo ưu đãi đầu tư:</w:t>
            </w:r>
          </w:p>
          <w:p w14:paraId="217C6FC0" w14:textId="77B46E1C" w:rsidR="00692324" w:rsidRDefault="00692324" w:rsidP="00700B07">
            <w:pPr>
              <w:ind w:firstLine="318"/>
              <w:jc w:val="both"/>
              <w:rPr>
                <w:sz w:val="28"/>
                <w:szCs w:val="28"/>
              </w:rPr>
            </w:pPr>
            <w:r w:rsidRPr="00B55E35">
              <w:rPr>
                <w:sz w:val="28"/>
                <w:szCs w:val="28"/>
              </w:rPr>
              <w:t>Việc giao Chính phủ xem xét, giải quyết các đề nghị đảm bảo ưu đãi đầu tư là phù hợp để xử lý nhanh, kịp thời cân đối lợi ích quốc gia và cam kết quốc tế. Tuy nhiên, cần đảm bảo tuân thủ nguyên tắc minh bạch, công khai trong điều hành và quyền giám sát tối cao của Quốc hội.</w:t>
            </w:r>
          </w:p>
        </w:tc>
        <w:tc>
          <w:tcPr>
            <w:tcW w:w="3749" w:type="dxa"/>
          </w:tcPr>
          <w:p w14:paraId="3DD7DFA3" w14:textId="2B8BC7BF" w:rsidR="00692324" w:rsidRDefault="00692324" w:rsidP="003B0FEA">
            <w:pPr>
              <w:ind w:firstLine="313"/>
              <w:jc w:val="both"/>
              <w:rPr>
                <w:sz w:val="28"/>
                <w:szCs w:val="28"/>
              </w:rPr>
            </w:pPr>
            <w:r>
              <w:rPr>
                <w:sz w:val="28"/>
                <w:szCs w:val="28"/>
              </w:rPr>
              <w:t>Bộ Tài chính thống nhất và sẽ lưu ý trong quá trình soạn thảo Nghị quyết.</w:t>
            </w:r>
          </w:p>
        </w:tc>
      </w:tr>
      <w:tr w:rsidR="00692324" w:rsidRPr="00EA39AF" w14:paraId="4615CFB3" w14:textId="77777777" w:rsidTr="00404FD3">
        <w:tc>
          <w:tcPr>
            <w:tcW w:w="2263" w:type="dxa"/>
            <w:vMerge/>
          </w:tcPr>
          <w:p w14:paraId="0821BCD3" w14:textId="77777777" w:rsidR="00692324" w:rsidRDefault="00692324" w:rsidP="00683285">
            <w:pPr>
              <w:rPr>
                <w:b/>
                <w:bCs/>
                <w:sz w:val="28"/>
                <w:szCs w:val="28"/>
              </w:rPr>
            </w:pPr>
          </w:p>
        </w:tc>
        <w:tc>
          <w:tcPr>
            <w:tcW w:w="2694" w:type="dxa"/>
            <w:vAlign w:val="center"/>
          </w:tcPr>
          <w:p w14:paraId="11559A3C" w14:textId="31035CC9" w:rsidR="00692324" w:rsidRDefault="00692324" w:rsidP="00404FD3">
            <w:pPr>
              <w:jc w:val="center"/>
              <w:rPr>
                <w:sz w:val="28"/>
                <w:szCs w:val="28"/>
              </w:rPr>
            </w:pPr>
            <w:r>
              <w:rPr>
                <w:sz w:val="28"/>
                <w:szCs w:val="28"/>
              </w:rPr>
              <w:t>Ngân hàng Nhà nước</w:t>
            </w:r>
          </w:p>
        </w:tc>
        <w:tc>
          <w:tcPr>
            <w:tcW w:w="5244" w:type="dxa"/>
          </w:tcPr>
          <w:p w14:paraId="1C0AB063" w14:textId="3E449BB0" w:rsidR="00692324" w:rsidRDefault="00692324" w:rsidP="00700B07">
            <w:pPr>
              <w:ind w:firstLine="318"/>
              <w:jc w:val="both"/>
              <w:rPr>
                <w:sz w:val="28"/>
                <w:szCs w:val="28"/>
              </w:rPr>
            </w:pPr>
            <w:r>
              <w:rPr>
                <w:sz w:val="28"/>
                <w:szCs w:val="28"/>
              </w:rPr>
              <w:t xml:space="preserve">Tại khoản 1 Điều 1: Đề nghị xem xét bổ sung thêm cụm từ “sửa đổi” vào nội dung để </w:t>
            </w:r>
            <w:r>
              <w:rPr>
                <w:sz w:val="28"/>
                <w:szCs w:val="28"/>
              </w:rPr>
              <w:lastRenderedPageBreak/>
              <w:t xml:space="preserve">đảm bảo đúng với tính chất nội dung đang đề cập, cụ thể như sau: “1. </w:t>
            </w:r>
            <w:r w:rsidRPr="003E64C0">
              <w:rPr>
                <w:b/>
                <w:bCs/>
                <w:sz w:val="28"/>
                <w:szCs w:val="28"/>
                <w:u w:val="single"/>
              </w:rPr>
              <w:t>Sửa đổi</w:t>
            </w:r>
            <w:r>
              <w:rPr>
                <w:sz w:val="28"/>
                <w:szCs w:val="28"/>
              </w:rPr>
              <w:t>, bổ sung khoản 10 Điều 4 như sau”.</w:t>
            </w:r>
          </w:p>
        </w:tc>
        <w:tc>
          <w:tcPr>
            <w:tcW w:w="3749" w:type="dxa"/>
          </w:tcPr>
          <w:p w14:paraId="611D8F78" w14:textId="17E2D042" w:rsidR="00692324" w:rsidRDefault="00BC2532" w:rsidP="003B0FEA">
            <w:pPr>
              <w:ind w:firstLine="313"/>
              <w:jc w:val="both"/>
              <w:rPr>
                <w:sz w:val="28"/>
                <w:szCs w:val="28"/>
              </w:rPr>
            </w:pPr>
            <w:r>
              <w:rPr>
                <w:sz w:val="28"/>
                <w:szCs w:val="28"/>
              </w:rPr>
              <w:lastRenderedPageBreak/>
              <w:t xml:space="preserve">Khoản 1 Điều 1 là một khoản được bổ sung mới so với Nghị </w:t>
            </w:r>
            <w:r>
              <w:rPr>
                <w:sz w:val="28"/>
                <w:szCs w:val="28"/>
              </w:rPr>
              <w:lastRenderedPageBreak/>
              <w:t>quyết 107/2023/QH15, không phải sửa đổi từ một nội dung đã có.</w:t>
            </w:r>
          </w:p>
        </w:tc>
      </w:tr>
      <w:tr w:rsidR="00F43B08" w:rsidRPr="00EA39AF" w14:paraId="64D395BB" w14:textId="77777777" w:rsidTr="00B51AD3">
        <w:tc>
          <w:tcPr>
            <w:tcW w:w="2263" w:type="dxa"/>
            <w:vAlign w:val="center"/>
          </w:tcPr>
          <w:p w14:paraId="30966ACD" w14:textId="3A4AFA00" w:rsidR="00F43B08" w:rsidRDefault="00F43B08" w:rsidP="00B51AD3">
            <w:pPr>
              <w:jc w:val="center"/>
              <w:rPr>
                <w:b/>
                <w:bCs/>
                <w:sz w:val="28"/>
                <w:szCs w:val="28"/>
              </w:rPr>
            </w:pPr>
            <w:r>
              <w:rPr>
                <w:b/>
                <w:bCs/>
                <w:sz w:val="28"/>
                <w:szCs w:val="28"/>
              </w:rPr>
              <w:lastRenderedPageBreak/>
              <w:t>Bãi bỏ nội dung về Luật Thuế thu nhập doanh nghiệp tại khoản 1 Điều 8</w:t>
            </w:r>
          </w:p>
        </w:tc>
        <w:tc>
          <w:tcPr>
            <w:tcW w:w="2694" w:type="dxa"/>
            <w:vAlign w:val="center"/>
          </w:tcPr>
          <w:p w14:paraId="158BF871" w14:textId="57FA5633" w:rsidR="00F43B08" w:rsidRDefault="0098055C" w:rsidP="00404FD3">
            <w:pPr>
              <w:jc w:val="center"/>
              <w:rPr>
                <w:sz w:val="28"/>
                <w:szCs w:val="28"/>
              </w:rPr>
            </w:pPr>
            <w:r>
              <w:rPr>
                <w:sz w:val="28"/>
                <w:szCs w:val="28"/>
              </w:rPr>
              <w:t>Ngân hàng Nhà nước</w:t>
            </w:r>
          </w:p>
        </w:tc>
        <w:tc>
          <w:tcPr>
            <w:tcW w:w="5244" w:type="dxa"/>
          </w:tcPr>
          <w:p w14:paraId="35C6C2D8" w14:textId="50542296" w:rsidR="00F43B08" w:rsidRDefault="0098055C" w:rsidP="00404FD3">
            <w:pPr>
              <w:ind w:firstLine="323"/>
              <w:jc w:val="both"/>
              <w:rPr>
                <w:sz w:val="28"/>
                <w:szCs w:val="28"/>
              </w:rPr>
            </w:pPr>
            <w:r>
              <w:rPr>
                <w:sz w:val="28"/>
                <w:szCs w:val="28"/>
              </w:rPr>
              <w:t xml:space="preserve">Tại khoản 2 Điều 1: Đề nghị trích dẫn đầy đủ nội dung quy định tại khoản 1 Điều 8 Nghị quyết số 107/2023/QH15, cụ thể như sau: </w:t>
            </w:r>
            <w:r w:rsidRPr="0098055C">
              <w:rPr>
                <w:i/>
                <w:iCs/>
                <w:sz w:val="28"/>
                <w:szCs w:val="28"/>
              </w:rPr>
              <w:t xml:space="preserve">“1. Bãi bỏ câu “Chính phủ khẩn trương hoàn thiện hồ sơ dự án Luật thuế thu nhập doanh nghiệp (sửa đổi) theo quy định của Luật Ban hành văn bản quy phạm pháp luật, trình Ủy ban Thường vụ Quốc hội, Quốc hội </w:t>
            </w:r>
            <w:r w:rsidRPr="00096559">
              <w:rPr>
                <w:b/>
                <w:bCs/>
                <w:i/>
                <w:iCs/>
                <w:sz w:val="28"/>
                <w:szCs w:val="28"/>
                <w:u w:val="single"/>
              </w:rPr>
              <w:t>xem xét</w:t>
            </w:r>
            <w:r w:rsidRPr="0098055C">
              <w:rPr>
                <w:i/>
                <w:iCs/>
                <w:sz w:val="28"/>
                <w:szCs w:val="28"/>
              </w:rPr>
              <w:t>, bổ sung vào Chương trình xây dựng luật, pháp lệnh năm 2024” tại khoản 1 Điều 8”.</w:t>
            </w:r>
          </w:p>
        </w:tc>
        <w:tc>
          <w:tcPr>
            <w:tcW w:w="3749" w:type="dxa"/>
          </w:tcPr>
          <w:p w14:paraId="252DB05D" w14:textId="380BE131" w:rsidR="00F43B08" w:rsidRDefault="002038BC" w:rsidP="003A42EB">
            <w:pPr>
              <w:ind w:firstLine="323"/>
              <w:jc w:val="both"/>
              <w:rPr>
                <w:sz w:val="28"/>
                <w:szCs w:val="28"/>
              </w:rPr>
            </w:pPr>
            <w:r>
              <w:rPr>
                <w:sz w:val="28"/>
                <w:szCs w:val="28"/>
              </w:rPr>
              <w:t>Bộ Tài chính hoàn thiện lại dự thảo Nghị quyết, bỏ nội dung bãi bỏ tại khoản 2 Điều 1 do không cần thiết.</w:t>
            </w:r>
          </w:p>
        </w:tc>
      </w:tr>
      <w:tr w:rsidR="00683285" w:rsidRPr="00EA39AF" w14:paraId="3C16066F" w14:textId="77777777" w:rsidTr="00B51AD3">
        <w:tc>
          <w:tcPr>
            <w:tcW w:w="2263" w:type="dxa"/>
            <w:vAlign w:val="center"/>
          </w:tcPr>
          <w:p w14:paraId="08C574F0" w14:textId="40C50738" w:rsidR="00683285" w:rsidRPr="000D1E9E" w:rsidRDefault="000D1E9E" w:rsidP="00B51AD3">
            <w:pPr>
              <w:jc w:val="center"/>
              <w:rPr>
                <w:b/>
                <w:bCs/>
                <w:sz w:val="28"/>
                <w:szCs w:val="28"/>
              </w:rPr>
            </w:pPr>
            <w:r>
              <w:rPr>
                <w:b/>
                <w:bCs/>
                <w:sz w:val="28"/>
                <w:szCs w:val="28"/>
              </w:rPr>
              <w:t>Nội dung khác</w:t>
            </w:r>
          </w:p>
        </w:tc>
        <w:tc>
          <w:tcPr>
            <w:tcW w:w="2694" w:type="dxa"/>
            <w:vAlign w:val="center"/>
          </w:tcPr>
          <w:p w14:paraId="1A23D51C" w14:textId="637A3FFC" w:rsidR="00683285" w:rsidRPr="00EA39AF" w:rsidRDefault="00913842" w:rsidP="00404FD3">
            <w:pPr>
              <w:jc w:val="center"/>
              <w:rPr>
                <w:sz w:val="28"/>
                <w:szCs w:val="28"/>
              </w:rPr>
            </w:pPr>
            <w:r>
              <w:rPr>
                <w:sz w:val="28"/>
                <w:szCs w:val="28"/>
              </w:rPr>
              <w:t>Bộ Công Thương</w:t>
            </w:r>
          </w:p>
        </w:tc>
        <w:tc>
          <w:tcPr>
            <w:tcW w:w="5244" w:type="dxa"/>
            <w:vAlign w:val="center"/>
          </w:tcPr>
          <w:p w14:paraId="6BB3564E" w14:textId="168CF5E7" w:rsidR="00683285" w:rsidRPr="00EA39AF" w:rsidRDefault="00913842" w:rsidP="00404FD3">
            <w:pPr>
              <w:ind w:firstLine="323"/>
              <w:jc w:val="both"/>
              <w:rPr>
                <w:sz w:val="28"/>
                <w:szCs w:val="28"/>
              </w:rPr>
            </w:pPr>
            <w:r>
              <w:rPr>
                <w:sz w:val="28"/>
                <w:szCs w:val="28"/>
              </w:rPr>
              <w:t>Với nội dung hiện tại của dự thảo Nghị quyết, doanh nghiệp dự án chưa rõ sẽ phải triển khai thực hiện các bước tuân thủ như thế nào. Vì vậy, Bộ T</w:t>
            </w:r>
            <w:r w:rsidR="008C1A97">
              <w:rPr>
                <w:sz w:val="28"/>
                <w:szCs w:val="28"/>
              </w:rPr>
              <w:t>ài chính cân nhắc việc có quy định hướng dẫn chi tiết về thủ tục và thời gian áp dụng</w:t>
            </w:r>
          </w:p>
        </w:tc>
        <w:tc>
          <w:tcPr>
            <w:tcW w:w="3749" w:type="dxa"/>
          </w:tcPr>
          <w:p w14:paraId="5A02E4F2" w14:textId="02ACADA5" w:rsidR="00683285" w:rsidRPr="00EA39AF" w:rsidRDefault="00FC3845" w:rsidP="00CC76FD">
            <w:pPr>
              <w:ind w:firstLine="323"/>
              <w:jc w:val="both"/>
              <w:rPr>
                <w:sz w:val="28"/>
                <w:szCs w:val="28"/>
              </w:rPr>
            </w:pPr>
            <w:r>
              <w:rPr>
                <w:sz w:val="28"/>
                <w:szCs w:val="28"/>
              </w:rPr>
              <w:t xml:space="preserve">Ngày 29/8/2025, Chính phủ ban hành Nghị định 236/2025/NĐ-CP quy định chi tiết Nghị quyết số 107/2023/QH15. Trường hợp Nghị quyết sửa đổi, bổ sung Nghị quyết 107/2023/QH15 được ban hành thì các dự án BOT điện vẫn thực hiện các thủ tục kê khai, nộp thuế và tính </w:t>
            </w:r>
            <w:r>
              <w:rPr>
                <w:sz w:val="28"/>
                <w:szCs w:val="28"/>
              </w:rPr>
              <w:lastRenderedPageBreak/>
              <w:t>toán số thuế phải nộp căn cứ theo quy định tại Nghị định 236/2025/NĐ-CP.</w:t>
            </w:r>
          </w:p>
        </w:tc>
      </w:tr>
      <w:tr w:rsidR="00F15D4D" w:rsidRPr="00EA39AF" w14:paraId="33241578" w14:textId="77777777" w:rsidTr="00404FD3">
        <w:tc>
          <w:tcPr>
            <w:tcW w:w="2263" w:type="dxa"/>
          </w:tcPr>
          <w:p w14:paraId="7EE7C2B3" w14:textId="77777777" w:rsidR="00F15D4D" w:rsidRDefault="00F15D4D" w:rsidP="000D1E9E">
            <w:pPr>
              <w:rPr>
                <w:b/>
                <w:bCs/>
                <w:sz w:val="28"/>
                <w:szCs w:val="28"/>
              </w:rPr>
            </w:pPr>
          </w:p>
        </w:tc>
        <w:tc>
          <w:tcPr>
            <w:tcW w:w="2694" w:type="dxa"/>
            <w:vAlign w:val="center"/>
          </w:tcPr>
          <w:p w14:paraId="1C253DA6" w14:textId="0A586C52" w:rsidR="00F15D4D" w:rsidRDefault="00F15D4D" w:rsidP="00404FD3">
            <w:pPr>
              <w:jc w:val="center"/>
              <w:rPr>
                <w:sz w:val="28"/>
                <w:szCs w:val="28"/>
              </w:rPr>
            </w:pPr>
            <w:r>
              <w:rPr>
                <w:sz w:val="28"/>
                <w:szCs w:val="28"/>
              </w:rPr>
              <w:t>Liên minh Diễn đàn Doanh nghiệp Việt Nam (VBF)</w:t>
            </w:r>
          </w:p>
        </w:tc>
        <w:tc>
          <w:tcPr>
            <w:tcW w:w="5244" w:type="dxa"/>
          </w:tcPr>
          <w:p w14:paraId="5BBABD14" w14:textId="1AB24A75" w:rsidR="00F15D4D" w:rsidRDefault="00F15D4D" w:rsidP="00683285">
            <w:pPr>
              <w:rPr>
                <w:sz w:val="28"/>
                <w:szCs w:val="28"/>
              </w:rPr>
            </w:pPr>
            <w:r>
              <w:rPr>
                <w:sz w:val="28"/>
                <w:szCs w:val="28"/>
              </w:rPr>
              <w:t>Như ý kiến của Bộ Công Thương.</w:t>
            </w:r>
          </w:p>
        </w:tc>
        <w:tc>
          <w:tcPr>
            <w:tcW w:w="3749" w:type="dxa"/>
          </w:tcPr>
          <w:p w14:paraId="25F495D0" w14:textId="5C2FCCF5" w:rsidR="00F15D4D" w:rsidRDefault="00F15D4D" w:rsidP="00F15D4D">
            <w:pPr>
              <w:ind w:firstLine="323"/>
              <w:jc w:val="both"/>
              <w:rPr>
                <w:sz w:val="28"/>
                <w:szCs w:val="28"/>
              </w:rPr>
            </w:pPr>
            <w:r>
              <w:rPr>
                <w:sz w:val="28"/>
                <w:szCs w:val="28"/>
              </w:rPr>
              <w:t>Như nội dung giải trình, tiếp thu ý kiến của Bộ Công Thương.</w:t>
            </w:r>
          </w:p>
        </w:tc>
      </w:tr>
    </w:tbl>
    <w:p w14:paraId="256E7BE9" w14:textId="77777777" w:rsidR="00CD0DED" w:rsidRPr="00EA39AF" w:rsidRDefault="00CD0DED">
      <w:pPr>
        <w:rPr>
          <w:sz w:val="28"/>
          <w:szCs w:val="28"/>
        </w:rPr>
      </w:pPr>
    </w:p>
    <w:sectPr w:rsidR="00CD0DED" w:rsidRPr="00EA39AF" w:rsidSect="009A41D2">
      <w:headerReference w:type="even" r:id="rId7"/>
      <w:headerReference w:type="default" r:id="rId8"/>
      <w:pgSz w:w="16840" w:h="11900"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02B3F" w14:textId="77777777" w:rsidR="008E1206" w:rsidRDefault="008E1206" w:rsidP="008F7F88">
      <w:r>
        <w:separator/>
      </w:r>
    </w:p>
  </w:endnote>
  <w:endnote w:type="continuationSeparator" w:id="0">
    <w:p w14:paraId="79BF7641" w14:textId="77777777" w:rsidR="008E1206" w:rsidRDefault="008E1206" w:rsidP="008F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80A4" w14:textId="77777777" w:rsidR="008E1206" w:rsidRDefault="008E1206" w:rsidP="008F7F88">
      <w:r>
        <w:separator/>
      </w:r>
    </w:p>
  </w:footnote>
  <w:footnote w:type="continuationSeparator" w:id="0">
    <w:p w14:paraId="213B8DDF" w14:textId="77777777" w:rsidR="008E1206" w:rsidRDefault="008E1206" w:rsidP="008F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11090032"/>
      <w:docPartObj>
        <w:docPartGallery w:val="Page Numbers (Top of Page)"/>
        <w:docPartUnique/>
      </w:docPartObj>
    </w:sdtPr>
    <w:sdtEndPr>
      <w:rPr>
        <w:rStyle w:val="PageNumber"/>
      </w:rPr>
    </w:sdtEndPr>
    <w:sdtContent>
      <w:p w14:paraId="75BDADD0" w14:textId="77777777" w:rsidR="00CF70CA" w:rsidRDefault="00CF70CA" w:rsidP="00D23A9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C1F5C8" w14:textId="77777777" w:rsidR="00CF70CA" w:rsidRDefault="00CF7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73130373"/>
      <w:docPartObj>
        <w:docPartGallery w:val="Page Numbers (Top of Page)"/>
        <w:docPartUnique/>
      </w:docPartObj>
    </w:sdtPr>
    <w:sdtEndPr>
      <w:rPr>
        <w:rStyle w:val="PageNumber"/>
      </w:rPr>
    </w:sdtEndPr>
    <w:sdtContent>
      <w:p w14:paraId="2EEB2481" w14:textId="4F439AED" w:rsidR="00CF70CA" w:rsidRDefault="00CF70CA" w:rsidP="00D23A9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p>
    </w:sdtContent>
  </w:sdt>
  <w:p w14:paraId="0DE434C5" w14:textId="77777777" w:rsidR="00CF70CA" w:rsidRDefault="00CF7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5CF"/>
    <w:multiLevelType w:val="hybridMultilevel"/>
    <w:tmpl w:val="17ECFE3E"/>
    <w:lvl w:ilvl="0" w:tplc="2146E33A">
      <w:start w:val="1"/>
      <w:numFmt w:val="bullet"/>
      <w:lvlText w:val="-"/>
      <w:lvlJc w:val="left"/>
      <w:pPr>
        <w:tabs>
          <w:tab w:val="num" w:pos="720"/>
        </w:tabs>
        <w:ind w:left="720" w:hanging="360"/>
      </w:pPr>
      <w:rPr>
        <w:rFonts w:ascii="Times New Roman" w:hAnsi="Times New Roman" w:hint="default"/>
      </w:rPr>
    </w:lvl>
    <w:lvl w:ilvl="1" w:tplc="B4605844" w:tentative="1">
      <w:start w:val="1"/>
      <w:numFmt w:val="bullet"/>
      <w:lvlText w:val="-"/>
      <w:lvlJc w:val="left"/>
      <w:pPr>
        <w:tabs>
          <w:tab w:val="num" w:pos="1440"/>
        </w:tabs>
        <w:ind w:left="1440" w:hanging="360"/>
      </w:pPr>
      <w:rPr>
        <w:rFonts w:ascii="Times New Roman" w:hAnsi="Times New Roman" w:hint="default"/>
      </w:rPr>
    </w:lvl>
    <w:lvl w:ilvl="2" w:tplc="AF8AED7A" w:tentative="1">
      <w:start w:val="1"/>
      <w:numFmt w:val="bullet"/>
      <w:lvlText w:val="-"/>
      <w:lvlJc w:val="left"/>
      <w:pPr>
        <w:tabs>
          <w:tab w:val="num" w:pos="2160"/>
        </w:tabs>
        <w:ind w:left="2160" w:hanging="360"/>
      </w:pPr>
      <w:rPr>
        <w:rFonts w:ascii="Times New Roman" w:hAnsi="Times New Roman" w:hint="default"/>
      </w:rPr>
    </w:lvl>
    <w:lvl w:ilvl="3" w:tplc="EF0C44E4" w:tentative="1">
      <w:start w:val="1"/>
      <w:numFmt w:val="bullet"/>
      <w:lvlText w:val="-"/>
      <w:lvlJc w:val="left"/>
      <w:pPr>
        <w:tabs>
          <w:tab w:val="num" w:pos="2880"/>
        </w:tabs>
        <w:ind w:left="2880" w:hanging="360"/>
      </w:pPr>
      <w:rPr>
        <w:rFonts w:ascii="Times New Roman" w:hAnsi="Times New Roman" w:hint="default"/>
      </w:rPr>
    </w:lvl>
    <w:lvl w:ilvl="4" w:tplc="4BFC85A0" w:tentative="1">
      <w:start w:val="1"/>
      <w:numFmt w:val="bullet"/>
      <w:lvlText w:val="-"/>
      <w:lvlJc w:val="left"/>
      <w:pPr>
        <w:tabs>
          <w:tab w:val="num" w:pos="3600"/>
        </w:tabs>
        <w:ind w:left="3600" w:hanging="360"/>
      </w:pPr>
      <w:rPr>
        <w:rFonts w:ascii="Times New Roman" w:hAnsi="Times New Roman" w:hint="default"/>
      </w:rPr>
    </w:lvl>
    <w:lvl w:ilvl="5" w:tplc="BDFE6D1C" w:tentative="1">
      <w:start w:val="1"/>
      <w:numFmt w:val="bullet"/>
      <w:lvlText w:val="-"/>
      <w:lvlJc w:val="left"/>
      <w:pPr>
        <w:tabs>
          <w:tab w:val="num" w:pos="4320"/>
        </w:tabs>
        <w:ind w:left="4320" w:hanging="360"/>
      </w:pPr>
      <w:rPr>
        <w:rFonts w:ascii="Times New Roman" w:hAnsi="Times New Roman" w:hint="default"/>
      </w:rPr>
    </w:lvl>
    <w:lvl w:ilvl="6" w:tplc="3A42554C" w:tentative="1">
      <w:start w:val="1"/>
      <w:numFmt w:val="bullet"/>
      <w:lvlText w:val="-"/>
      <w:lvlJc w:val="left"/>
      <w:pPr>
        <w:tabs>
          <w:tab w:val="num" w:pos="5040"/>
        </w:tabs>
        <w:ind w:left="5040" w:hanging="360"/>
      </w:pPr>
      <w:rPr>
        <w:rFonts w:ascii="Times New Roman" w:hAnsi="Times New Roman" w:hint="default"/>
      </w:rPr>
    </w:lvl>
    <w:lvl w:ilvl="7" w:tplc="B63808D6" w:tentative="1">
      <w:start w:val="1"/>
      <w:numFmt w:val="bullet"/>
      <w:lvlText w:val="-"/>
      <w:lvlJc w:val="left"/>
      <w:pPr>
        <w:tabs>
          <w:tab w:val="num" w:pos="5760"/>
        </w:tabs>
        <w:ind w:left="5760" w:hanging="360"/>
      </w:pPr>
      <w:rPr>
        <w:rFonts w:ascii="Times New Roman" w:hAnsi="Times New Roman" w:hint="default"/>
      </w:rPr>
    </w:lvl>
    <w:lvl w:ilvl="8" w:tplc="3B34A8C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310797"/>
    <w:multiLevelType w:val="hybridMultilevel"/>
    <w:tmpl w:val="BD0C103E"/>
    <w:lvl w:ilvl="0" w:tplc="E8A83A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F0C54"/>
    <w:multiLevelType w:val="hybridMultilevel"/>
    <w:tmpl w:val="2B245A7A"/>
    <w:lvl w:ilvl="0" w:tplc="3A6E178E">
      <w:start w:val="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05D44"/>
    <w:multiLevelType w:val="hybridMultilevel"/>
    <w:tmpl w:val="62DAAAC4"/>
    <w:lvl w:ilvl="0" w:tplc="A332688C">
      <w:start w:val="1"/>
      <w:numFmt w:val="bullet"/>
      <w:lvlText w:val="ü"/>
      <w:lvlJc w:val="left"/>
      <w:pPr>
        <w:tabs>
          <w:tab w:val="num" w:pos="720"/>
        </w:tabs>
        <w:ind w:left="720" w:hanging="360"/>
      </w:pPr>
      <w:rPr>
        <w:rFonts w:ascii="Wingdings" w:hAnsi="Wingdings" w:hint="default"/>
      </w:rPr>
    </w:lvl>
    <w:lvl w:ilvl="1" w:tplc="1D7C6F68" w:tentative="1">
      <w:start w:val="1"/>
      <w:numFmt w:val="bullet"/>
      <w:lvlText w:val="ü"/>
      <w:lvlJc w:val="left"/>
      <w:pPr>
        <w:tabs>
          <w:tab w:val="num" w:pos="1440"/>
        </w:tabs>
        <w:ind w:left="1440" w:hanging="360"/>
      </w:pPr>
      <w:rPr>
        <w:rFonts w:ascii="Wingdings" w:hAnsi="Wingdings" w:hint="default"/>
      </w:rPr>
    </w:lvl>
    <w:lvl w:ilvl="2" w:tplc="563CAB0C" w:tentative="1">
      <w:start w:val="1"/>
      <w:numFmt w:val="bullet"/>
      <w:lvlText w:val="ü"/>
      <w:lvlJc w:val="left"/>
      <w:pPr>
        <w:tabs>
          <w:tab w:val="num" w:pos="2160"/>
        </w:tabs>
        <w:ind w:left="2160" w:hanging="360"/>
      </w:pPr>
      <w:rPr>
        <w:rFonts w:ascii="Wingdings" w:hAnsi="Wingdings" w:hint="default"/>
      </w:rPr>
    </w:lvl>
    <w:lvl w:ilvl="3" w:tplc="79B6C55C" w:tentative="1">
      <w:start w:val="1"/>
      <w:numFmt w:val="bullet"/>
      <w:lvlText w:val="ü"/>
      <w:lvlJc w:val="left"/>
      <w:pPr>
        <w:tabs>
          <w:tab w:val="num" w:pos="2880"/>
        </w:tabs>
        <w:ind w:left="2880" w:hanging="360"/>
      </w:pPr>
      <w:rPr>
        <w:rFonts w:ascii="Wingdings" w:hAnsi="Wingdings" w:hint="default"/>
      </w:rPr>
    </w:lvl>
    <w:lvl w:ilvl="4" w:tplc="E6F866EA" w:tentative="1">
      <w:start w:val="1"/>
      <w:numFmt w:val="bullet"/>
      <w:lvlText w:val="ü"/>
      <w:lvlJc w:val="left"/>
      <w:pPr>
        <w:tabs>
          <w:tab w:val="num" w:pos="3600"/>
        </w:tabs>
        <w:ind w:left="3600" w:hanging="360"/>
      </w:pPr>
      <w:rPr>
        <w:rFonts w:ascii="Wingdings" w:hAnsi="Wingdings" w:hint="default"/>
      </w:rPr>
    </w:lvl>
    <w:lvl w:ilvl="5" w:tplc="8F564D78" w:tentative="1">
      <w:start w:val="1"/>
      <w:numFmt w:val="bullet"/>
      <w:lvlText w:val="ü"/>
      <w:lvlJc w:val="left"/>
      <w:pPr>
        <w:tabs>
          <w:tab w:val="num" w:pos="4320"/>
        </w:tabs>
        <w:ind w:left="4320" w:hanging="360"/>
      </w:pPr>
      <w:rPr>
        <w:rFonts w:ascii="Wingdings" w:hAnsi="Wingdings" w:hint="default"/>
      </w:rPr>
    </w:lvl>
    <w:lvl w:ilvl="6" w:tplc="686E9CBE" w:tentative="1">
      <w:start w:val="1"/>
      <w:numFmt w:val="bullet"/>
      <w:lvlText w:val="ü"/>
      <w:lvlJc w:val="left"/>
      <w:pPr>
        <w:tabs>
          <w:tab w:val="num" w:pos="5040"/>
        </w:tabs>
        <w:ind w:left="5040" w:hanging="360"/>
      </w:pPr>
      <w:rPr>
        <w:rFonts w:ascii="Wingdings" w:hAnsi="Wingdings" w:hint="default"/>
      </w:rPr>
    </w:lvl>
    <w:lvl w:ilvl="7" w:tplc="BC5E138A" w:tentative="1">
      <w:start w:val="1"/>
      <w:numFmt w:val="bullet"/>
      <w:lvlText w:val="ü"/>
      <w:lvlJc w:val="left"/>
      <w:pPr>
        <w:tabs>
          <w:tab w:val="num" w:pos="5760"/>
        </w:tabs>
        <w:ind w:left="5760" w:hanging="360"/>
      </w:pPr>
      <w:rPr>
        <w:rFonts w:ascii="Wingdings" w:hAnsi="Wingdings" w:hint="default"/>
      </w:rPr>
    </w:lvl>
    <w:lvl w:ilvl="8" w:tplc="E80CC99E" w:tentative="1">
      <w:start w:val="1"/>
      <w:numFmt w:val="bullet"/>
      <w:lvlText w:val="ü"/>
      <w:lvlJc w:val="left"/>
      <w:pPr>
        <w:tabs>
          <w:tab w:val="num" w:pos="6480"/>
        </w:tabs>
        <w:ind w:left="6480" w:hanging="360"/>
      </w:pPr>
      <w:rPr>
        <w:rFonts w:ascii="Wingdings" w:hAnsi="Wingdings" w:hint="default"/>
      </w:rPr>
    </w:lvl>
  </w:abstractNum>
  <w:abstractNum w:abstractNumId="4" w15:restartNumberingAfterBreak="0">
    <w:nsid w:val="134F7FCA"/>
    <w:multiLevelType w:val="hybridMultilevel"/>
    <w:tmpl w:val="34B0AB16"/>
    <w:lvl w:ilvl="0" w:tplc="B44C4B32">
      <w:start w:val="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F257C"/>
    <w:multiLevelType w:val="hybridMultilevel"/>
    <w:tmpl w:val="979A90B0"/>
    <w:lvl w:ilvl="0" w:tplc="4E6AB1D6">
      <w:start w:val="1"/>
      <w:numFmt w:val="bullet"/>
      <w:lvlText w:val="ü"/>
      <w:lvlJc w:val="left"/>
      <w:pPr>
        <w:tabs>
          <w:tab w:val="num" w:pos="720"/>
        </w:tabs>
        <w:ind w:left="720" w:hanging="360"/>
      </w:pPr>
      <w:rPr>
        <w:rFonts w:ascii="Wingdings" w:hAnsi="Wingdings" w:hint="default"/>
      </w:rPr>
    </w:lvl>
    <w:lvl w:ilvl="1" w:tplc="F8CE909E" w:tentative="1">
      <w:start w:val="1"/>
      <w:numFmt w:val="bullet"/>
      <w:lvlText w:val="ü"/>
      <w:lvlJc w:val="left"/>
      <w:pPr>
        <w:tabs>
          <w:tab w:val="num" w:pos="1440"/>
        </w:tabs>
        <w:ind w:left="1440" w:hanging="360"/>
      </w:pPr>
      <w:rPr>
        <w:rFonts w:ascii="Wingdings" w:hAnsi="Wingdings" w:hint="default"/>
      </w:rPr>
    </w:lvl>
    <w:lvl w:ilvl="2" w:tplc="A75E3CD6" w:tentative="1">
      <w:start w:val="1"/>
      <w:numFmt w:val="bullet"/>
      <w:lvlText w:val="ü"/>
      <w:lvlJc w:val="left"/>
      <w:pPr>
        <w:tabs>
          <w:tab w:val="num" w:pos="2160"/>
        </w:tabs>
        <w:ind w:left="2160" w:hanging="360"/>
      </w:pPr>
      <w:rPr>
        <w:rFonts w:ascii="Wingdings" w:hAnsi="Wingdings" w:hint="default"/>
      </w:rPr>
    </w:lvl>
    <w:lvl w:ilvl="3" w:tplc="520E37BA" w:tentative="1">
      <w:start w:val="1"/>
      <w:numFmt w:val="bullet"/>
      <w:lvlText w:val="ü"/>
      <w:lvlJc w:val="left"/>
      <w:pPr>
        <w:tabs>
          <w:tab w:val="num" w:pos="2880"/>
        </w:tabs>
        <w:ind w:left="2880" w:hanging="360"/>
      </w:pPr>
      <w:rPr>
        <w:rFonts w:ascii="Wingdings" w:hAnsi="Wingdings" w:hint="default"/>
      </w:rPr>
    </w:lvl>
    <w:lvl w:ilvl="4" w:tplc="3CCA9A4E" w:tentative="1">
      <w:start w:val="1"/>
      <w:numFmt w:val="bullet"/>
      <w:lvlText w:val="ü"/>
      <w:lvlJc w:val="left"/>
      <w:pPr>
        <w:tabs>
          <w:tab w:val="num" w:pos="3600"/>
        </w:tabs>
        <w:ind w:left="3600" w:hanging="360"/>
      </w:pPr>
      <w:rPr>
        <w:rFonts w:ascii="Wingdings" w:hAnsi="Wingdings" w:hint="default"/>
      </w:rPr>
    </w:lvl>
    <w:lvl w:ilvl="5" w:tplc="4FAA9EA6" w:tentative="1">
      <w:start w:val="1"/>
      <w:numFmt w:val="bullet"/>
      <w:lvlText w:val="ü"/>
      <w:lvlJc w:val="left"/>
      <w:pPr>
        <w:tabs>
          <w:tab w:val="num" w:pos="4320"/>
        </w:tabs>
        <w:ind w:left="4320" w:hanging="360"/>
      </w:pPr>
      <w:rPr>
        <w:rFonts w:ascii="Wingdings" w:hAnsi="Wingdings" w:hint="default"/>
      </w:rPr>
    </w:lvl>
    <w:lvl w:ilvl="6" w:tplc="D10A1904" w:tentative="1">
      <w:start w:val="1"/>
      <w:numFmt w:val="bullet"/>
      <w:lvlText w:val="ü"/>
      <w:lvlJc w:val="left"/>
      <w:pPr>
        <w:tabs>
          <w:tab w:val="num" w:pos="5040"/>
        </w:tabs>
        <w:ind w:left="5040" w:hanging="360"/>
      </w:pPr>
      <w:rPr>
        <w:rFonts w:ascii="Wingdings" w:hAnsi="Wingdings" w:hint="default"/>
      </w:rPr>
    </w:lvl>
    <w:lvl w:ilvl="7" w:tplc="F754E73A" w:tentative="1">
      <w:start w:val="1"/>
      <w:numFmt w:val="bullet"/>
      <w:lvlText w:val="ü"/>
      <w:lvlJc w:val="left"/>
      <w:pPr>
        <w:tabs>
          <w:tab w:val="num" w:pos="5760"/>
        </w:tabs>
        <w:ind w:left="5760" w:hanging="360"/>
      </w:pPr>
      <w:rPr>
        <w:rFonts w:ascii="Wingdings" w:hAnsi="Wingdings" w:hint="default"/>
      </w:rPr>
    </w:lvl>
    <w:lvl w:ilvl="8" w:tplc="5064627A" w:tentative="1">
      <w:start w:val="1"/>
      <w:numFmt w:val="bullet"/>
      <w:lvlText w:val="ü"/>
      <w:lvlJc w:val="left"/>
      <w:pPr>
        <w:tabs>
          <w:tab w:val="num" w:pos="6480"/>
        </w:tabs>
        <w:ind w:left="6480" w:hanging="360"/>
      </w:pPr>
      <w:rPr>
        <w:rFonts w:ascii="Wingdings" w:hAnsi="Wingdings" w:hint="default"/>
      </w:rPr>
    </w:lvl>
  </w:abstractNum>
  <w:abstractNum w:abstractNumId="6" w15:restartNumberingAfterBreak="0">
    <w:nsid w:val="39F6476E"/>
    <w:multiLevelType w:val="hybridMultilevel"/>
    <w:tmpl w:val="EE720C70"/>
    <w:lvl w:ilvl="0" w:tplc="B356A26E">
      <w:start w:val="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13DD7"/>
    <w:multiLevelType w:val="hybridMultilevel"/>
    <w:tmpl w:val="0D62E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190944"/>
    <w:multiLevelType w:val="hybridMultilevel"/>
    <w:tmpl w:val="95985B5E"/>
    <w:lvl w:ilvl="0" w:tplc="32925D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FF4159"/>
    <w:multiLevelType w:val="hybridMultilevel"/>
    <w:tmpl w:val="95C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74660"/>
    <w:multiLevelType w:val="hybridMultilevel"/>
    <w:tmpl w:val="08A0628E"/>
    <w:lvl w:ilvl="0" w:tplc="FF82AED0">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511831"/>
    <w:multiLevelType w:val="hybridMultilevel"/>
    <w:tmpl w:val="756E9A9E"/>
    <w:lvl w:ilvl="0" w:tplc="2D0EE77E">
      <w:start w:val="1"/>
      <w:numFmt w:val="bullet"/>
      <w:lvlText w:val="ü"/>
      <w:lvlJc w:val="left"/>
      <w:pPr>
        <w:tabs>
          <w:tab w:val="num" w:pos="720"/>
        </w:tabs>
        <w:ind w:left="720" w:hanging="360"/>
      </w:pPr>
      <w:rPr>
        <w:rFonts w:ascii="Wingdings" w:hAnsi="Wingdings" w:hint="default"/>
      </w:rPr>
    </w:lvl>
    <w:lvl w:ilvl="1" w:tplc="8F96D9DC" w:tentative="1">
      <w:start w:val="1"/>
      <w:numFmt w:val="bullet"/>
      <w:lvlText w:val="ü"/>
      <w:lvlJc w:val="left"/>
      <w:pPr>
        <w:tabs>
          <w:tab w:val="num" w:pos="1440"/>
        </w:tabs>
        <w:ind w:left="1440" w:hanging="360"/>
      </w:pPr>
      <w:rPr>
        <w:rFonts w:ascii="Wingdings" w:hAnsi="Wingdings" w:hint="default"/>
      </w:rPr>
    </w:lvl>
    <w:lvl w:ilvl="2" w:tplc="58A4E226" w:tentative="1">
      <w:start w:val="1"/>
      <w:numFmt w:val="bullet"/>
      <w:lvlText w:val="ü"/>
      <w:lvlJc w:val="left"/>
      <w:pPr>
        <w:tabs>
          <w:tab w:val="num" w:pos="2160"/>
        </w:tabs>
        <w:ind w:left="2160" w:hanging="360"/>
      </w:pPr>
      <w:rPr>
        <w:rFonts w:ascii="Wingdings" w:hAnsi="Wingdings" w:hint="default"/>
      </w:rPr>
    </w:lvl>
    <w:lvl w:ilvl="3" w:tplc="8DEE77A4" w:tentative="1">
      <w:start w:val="1"/>
      <w:numFmt w:val="bullet"/>
      <w:lvlText w:val="ü"/>
      <w:lvlJc w:val="left"/>
      <w:pPr>
        <w:tabs>
          <w:tab w:val="num" w:pos="2880"/>
        </w:tabs>
        <w:ind w:left="2880" w:hanging="360"/>
      </w:pPr>
      <w:rPr>
        <w:rFonts w:ascii="Wingdings" w:hAnsi="Wingdings" w:hint="default"/>
      </w:rPr>
    </w:lvl>
    <w:lvl w:ilvl="4" w:tplc="59AED900" w:tentative="1">
      <w:start w:val="1"/>
      <w:numFmt w:val="bullet"/>
      <w:lvlText w:val="ü"/>
      <w:lvlJc w:val="left"/>
      <w:pPr>
        <w:tabs>
          <w:tab w:val="num" w:pos="3600"/>
        </w:tabs>
        <w:ind w:left="3600" w:hanging="360"/>
      </w:pPr>
      <w:rPr>
        <w:rFonts w:ascii="Wingdings" w:hAnsi="Wingdings" w:hint="default"/>
      </w:rPr>
    </w:lvl>
    <w:lvl w:ilvl="5" w:tplc="84F6764C" w:tentative="1">
      <w:start w:val="1"/>
      <w:numFmt w:val="bullet"/>
      <w:lvlText w:val="ü"/>
      <w:lvlJc w:val="left"/>
      <w:pPr>
        <w:tabs>
          <w:tab w:val="num" w:pos="4320"/>
        </w:tabs>
        <w:ind w:left="4320" w:hanging="360"/>
      </w:pPr>
      <w:rPr>
        <w:rFonts w:ascii="Wingdings" w:hAnsi="Wingdings" w:hint="default"/>
      </w:rPr>
    </w:lvl>
    <w:lvl w:ilvl="6" w:tplc="BE44BDD2" w:tentative="1">
      <w:start w:val="1"/>
      <w:numFmt w:val="bullet"/>
      <w:lvlText w:val="ü"/>
      <w:lvlJc w:val="left"/>
      <w:pPr>
        <w:tabs>
          <w:tab w:val="num" w:pos="5040"/>
        </w:tabs>
        <w:ind w:left="5040" w:hanging="360"/>
      </w:pPr>
      <w:rPr>
        <w:rFonts w:ascii="Wingdings" w:hAnsi="Wingdings" w:hint="default"/>
      </w:rPr>
    </w:lvl>
    <w:lvl w:ilvl="7" w:tplc="A064AA96" w:tentative="1">
      <w:start w:val="1"/>
      <w:numFmt w:val="bullet"/>
      <w:lvlText w:val="ü"/>
      <w:lvlJc w:val="left"/>
      <w:pPr>
        <w:tabs>
          <w:tab w:val="num" w:pos="5760"/>
        </w:tabs>
        <w:ind w:left="5760" w:hanging="360"/>
      </w:pPr>
      <w:rPr>
        <w:rFonts w:ascii="Wingdings" w:hAnsi="Wingdings" w:hint="default"/>
      </w:rPr>
    </w:lvl>
    <w:lvl w:ilvl="8" w:tplc="D6A8A5E6" w:tentative="1">
      <w:start w:val="1"/>
      <w:numFmt w:val="bullet"/>
      <w:lvlText w:val="ü"/>
      <w:lvlJc w:val="left"/>
      <w:pPr>
        <w:tabs>
          <w:tab w:val="num" w:pos="6480"/>
        </w:tabs>
        <w:ind w:left="6480" w:hanging="360"/>
      </w:pPr>
      <w:rPr>
        <w:rFonts w:ascii="Wingdings" w:hAnsi="Wingdings" w:hint="default"/>
      </w:rPr>
    </w:lvl>
  </w:abstractNum>
  <w:abstractNum w:abstractNumId="12" w15:restartNumberingAfterBreak="0">
    <w:nsid w:val="66146B78"/>
    <w:multiLevelType w:val="hybridMultilevel"/>
    <w:tmpl w:val="0FDA5DC2"/>
    <w:lvl w:ilvl="0" w:tplc="6172AFB4">
      <w:start w:val="1"/>
      <w:numFmt w:val="lowerRoman"/>
      <w:lvlText w:val="(%1)"/>
      <w:lvlJc w:val="left"/>
      <w:pPr>
        <w:tabs>
          <w:tab w:val="num" w:pos="720"/>
        </w:tabs>
        <w:ind w:left="720" w:hanging="360"/>
      </w:pPr>
      <w:rPr>
        <w:rFonts w:ascii="Times New Roman" w:eastAsia="Times New Roman" w:hAnsi="Times New Roman" w:cs="Times New Roman"/>
      </w:rPr>
    </w:lvl>
    <w:lvl w:ilvl="1" w:tplc="592C4A92" w:tentative="1">
      <w:start w:val="1"/>
      <w:numFmt w:val="lowerLetter"/>
      <w:lvlText w:val="%2."/>
      <w:lvlJc w:val="left"/>
      <w:pPr>
        <w:tabs>
          <w:tab w:val="num" w:pos="1440"/>
        </w:tabs>
        <w:ind w:left="1440" w:hanging="360"/>
      </w:pPr>
    </w:lvl>
    <w:lvl w:ilvl="2" w:tplc="4EA45054" w:tentative="1">
      <w:start w:val="1"/>
      <w:numFmt w:val="lowerLetter"/>
      <w:lvlText w:val="%3."/>
      <w:lvlJc w:val="left"/>
      <w:pPr>
        <w:tabs>
          <w:tab w:val="num" w:pos="2160"/>
        </w:tabs>
        <w:ind w:left="2160" w:hanging="360"/>
      </w:pPr>
    </w:lvl>
    <w:lvl w:ilvl="3" w:tplc="011C09DC" w:tentative="1">
      <w:start w:val="1"/>
      <w:numFmt w:val="lowerLetter"/>
      <w:lvlText w:val="%4."/>
      <w:lvlJc w:val="left"/>
      <w:pPr>
        <w:tabs>
          <w:tab w:val="num" w:pos="2880"/>
        </w:tabs>
        <w:ind w:left="2880" w:hanging="360"/>
      </w:pPr>
    </w:lvl>
    <w:lvl w:ilvl="4" w:tplc="BB94A6B2" w:tentative="1">
      <w:start w:val="1"/>
      <w:numFmt w:val="lowerLetter"/>
      <w:lvlText w:val="%5."/>
      <w:lvlJc w:val="left"/>
      <w:pPr>
        <w:tabs>
          <w:tab w:val="num" w:pos="3600"/>
        </w:tabs>
        <w:ind w:left="3600" w:hanging="360"/>
      </w:pPr>
    </w:lvl>
    <w:lvl w:ilvl="5" w:tplc="8D161092" w:tentative="1">
      <w:start w:val="1"/>
      <w:numFmt w:val="lowerLetter"/>
      <w:lvlText w:val="%6."/>
      <w:lvlJc w:val="left"/>
      <w:pPr>
        <w:tabs>
          <w:tab w:val="num" w:pos="4320"/>
        </w:tabs>
        <w:ind w:left="4320" w:hanging="360"/>
      </w:pPr>
    </w:lvl>
    <w:lvl w:ilvl="6" w:tplc="02409B8A" w:tentative="1">
      <w:start w:val="1"/>
      <w:numFmt w:val="lowerLetter"/>
      <w:lvlText w:val="%7."/>
      <w:lvlJc w:val="left"/>
      <w:pPr>
        <w:tabs>
          <w:tab w:val="num" w:pos="5040"/>
        </w:tabs>
        <w:ind w:left="5040" w:hanging="360"/>
      </w:pPr>
    </w:lvl>
    <w:lvl w:ilvl="7" w:tplc="A2D8CEDC" w:tentative="1">
      <w:start w:val="1"/>
      <w:numFmt w:val="lowerLetter"/>
      <w:lvlText w:val="%8."/>
      <w:lvlJc w:val="left"/>
      <w:pPr>
        <w:tabs>
          <w:tab w:val="num" w:pos="5760"/>
        </w:tabs>
        <w:ind w:left="5760" w:hanging="360"/>
      </w:pPr>
    </w:lvl>
    <w:lvl w:ilvl="8" w:tplc="5DF84B80" w:tentative="1">
      <w:start w:val="1"/>
      <w:numFmt w:val="lowerLetter"/>
      <w:lvlText w:val="%9."/>
      <w:lvlJc w:val="left"/>
      <w:pPr>
        <w:tabs>
          <w:tab w:val="num" w:pos="6480"/>
        </w:tabs>
        <w:ind w:left="6480" w:hanging="360"/>
      </w:pPr>
    </w:lvl>
  </w:abstractNum>
  <w:abstractNum w:abstractNumId="13" w15:restartNumberingAfterBreak="0">
    <w:nsid w:val="66593B26"/>
    <w:multiLevelType w:val="hybridMultilevel"/>
    <w:tmpl w:val="B3D4514C"/>
    <w:lvl w:ilvl="0" w:tplc="2724D346">
      <w:start w:val="1"/>
      <w:numFmt w:val="bullet"/>
      <w:lvlText w:val="-"/>
      <w:lvlJc w:val="left"/>
      <w:pPr>
        <w:tabs>
          <w:tab w:val="num" w:pos="720"/>
        </w:tabs>
        <w:ind w:left="720" w:hanging="360"/>
      </w:pPr>
      <w:rPr>
        <w:rFonts w:ascii="Times New Roman" w:hAnsi="Times New Roman" w:hint="default"/>
      </w:rPr>
    </w:lvl>
    <w:lvl w:ilvl="1" w:tplc="D440263E" w:tentative="1">
      <w:start w:val="1"/>
      <w:numFmt w:val="bullet"/>
      <w:lvlText w:val="-"/>
      <w:lvlJc w:val="left"/>
      <w:pPr>
        <w:tabs>
          <w:tab w:val="num" w:pos="1440"/>
        </w:tabs>
        <w:ind w:left="1440" w:hanging="360"/>
      </w:pPr>
      <w:rPr>
        <w:rFonts w:ascii="Times New Roman" w:hAnsi="Times New Roman" w:hint="default"/>
      </w:rPr>
    </w:lvl>
    <w:lvl w:ilvl="2" w:tplc="6742DCCE" w:tentative="1">
      <w:start w:val="1"/>
      <w:numFmt w:val="bullet"/>
      <w:lvlText w:val="-"/>
      <w:lvlJc w:val="left"/>
      <w:pPr>
        <w:tabs>
          <w:tab w:val="num" w:pos="2160"/>
        </w:tabs>
        <w:ind w:left="2160" w:hanging="360"/>
      </w:pPr>
      <w:rPr>
        <w:rFonts w:ascii="Times New Roman" w:hAnsi="Times New Roman" w:hint="default"/>
      </w:rPr>
    </w:lvl>
    <w:lvl w:ilvl="3" w:tplc="49E69416" w:tentative="1">
      <w:start w:val="1"/>
      <w:numFmt w:val="bullet"/>
      <w:lvlText w:val="-"/>
      <w:lvlJc w:val="left"/>
      <w:pPr>
        <w:tabs>
          <w:tab w:val="num" w:pos="2880"/>
        </w:tabs>
        <w:ind w:left="2880" w:hanging="360"/>
      </w:pPr>
      <w:rPr>
        <w:rFonts w:ascii="Times New Roman" w:hAnsi="Times New Roman" w:hint="default"/>
      </w:rPr>
    </w:lvl>
    <w:lvl w:ilvl="4" w:tplc="B75A881E" w:tentative="1">
      <w:start w:val="1"/>
      <w:numFmt w:val="bullet"/>
      <w:lvlText w:val="-"/>
      <w:lvlJc w:val="left"/>
      <w:pPr>
        <w:tabs>
          <w:tab w:val="num" w:pos="3600"/>
        </w:tabs>
        <w:ind w:left="3600" w:hanging="360"/>
      </w:pPr>
      <w:rPr>
        <w:rFonts w:ascii="Times New Roman" w:hAnsi="Times New Roman" w:hint="default"/>
      </w:rPr>
    </w:lvl>
    <w:lvl w:ilvl="5" w:tplc="8C62F1AC" w:tentative="1">
      <w:start w:val="1"/>
      <w:numFmt w:val="bullet"/>
      <w:lvlText w:val="-"/>
      <w:lvlJc w:val="left"/>
      <w:pPr>
        <w:tabs>
          <w:tab w:val="num" w:pos="4320"/>
        </w:tabs>
        <w:ind w:left="4320" w:hanging="360"/>
      </w:pPr>
      <w:rPr>
        <w:rFonts w:ascii="Times New Roman" w:hAnsi="Times New Roman" w:hint="default"/>
      </w:rPr>
    </w:lvl>
    <w:lvl w:ilvl="6" w:tplc="F47CC34A" w:tentative="1">
      <w:start w:val="1"/>
      <w:numFmt w:val="bullet"/>
      <w:lvlText w:val="-"/>
      <w:lvlJc w:val="left"/>
      <w:pPr>
        <w:tabs>
          <w:tab w:val="num" w:pos="5040"/>
        </w:tabs>
        <w:ind w:left="5040" w:hanging="360"/>
      </w:pPr>
      <w:rPr>
        <w:rFonts w:ascii="Times New Roman" w:hAnsi="Times New Roman" w:hint="default"/>
      </w:rPr>
    </w:lvl>
    <w:lvl w:ilvl="7" w:tplc="74AA136E" w:tentative="1">
      <w:start w:val="1"/>
      <w:numFmt w:val="bullet"/>
      <w:lvlText w:val="-"/>
      <w:lvlJc w:val="left"/>
      <w:pPr>
        <w:tabs>
          <w:tab w:val="num" w:pos="5760"/>
        </w:tabs>
        <w:ind w:left="5760" w:hanging="360"/>
      </w:pPr>
      <w:rPr>
        <w:rFonts w:ascii="Times New Roman" w:hAnsi="Times New Roman" w:hint="default"/>
      </w:rPr>
    </w:lvl>
    <w:lvl w:ilvl="8" w:tplc="B250166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FBC548F"/>
    <w:multiLevelType w:val="hybridMultilevel"/>
    <w:tmpl w:val="86A018B0"/>
    <w:lvl w:ilvl="0" w:tplc="78E8EAA4">
      <w:start w:val="1"/>
      <w:numFmt w:val="bullet"/>
      <w:lvlText w:val="ü"/>
      <w:lvlJc w:val="left"/>
      <w:pPr>
        <w:tabs>
          <w:tab w:val="num" w:pos="720"/>
        </w:tabs>
        <w:ind w:left="720" w:hanging="360"/>
      </w:pPr>
      <w:rPr>
        <w:rFonts w:ascii="Wingdings" w:hAnsi="Wingdings" w:hint="default"/>
      </w:rPr>
    </w:lvl>
    <w:lvl w:ilvl="1" w:tplc="329022C6" w:tentative="1">
      <w:start w:val="1"/>
      <w:numFmt w:val="bullet"/>
      <w:lvlText w:val="ü"/>
      <w:lvlJc w:val="left"/>
      <w:pPr>
        <w:tabs>
          <w:tab w:val="num" w:pos="1440"/>
        </w:tabs>
        <w:ind w:left="1440" w:hanging="360"/>
      </w:pPr>
      <w:rPr>
        <w:rFonts w:ascii="Wingdings" w:hAnsi="Wingdings" w:hint="default"/>
      </w:rPr>
    </w:lvl>
    <w:lvl w:ilvl="2" w:tplc="83FAB23E" w:tentative="1">
      <w:start w:val="1"/>
      <w:numFmt w:val="bullet"/>
      <w:lvlText w:val="ü"/>
      <w:lvlJc w:val="left"/>
      <w:pPr>
        <w:tabs>
          <w:tab w:val="num" w:pos="2160"/>
        </w:tabs>
        <w:ind w:left="2160" w:hanging="360"/>
      </w:pPr>
      <w:rPr>
        <w:rFonts w:ascii="Wingdings" w:hAnsi="Wingdings" w:hint="default"/>
      </w:rPr>
    </w:lvl>
    <w:lvl w:ilvl="3" w:tplc="A2B226C8" w:tentative="1">
      <w:start w:val="1"/>
      <w:numFmt w:val="bullet"/>
      <w:lvlText w:val="ü"/>
      <w:lvlJc w:val="left"/>
      <w:pPr>
        <w:tabs>
          <w:tab w:val="num" w:pos="2880"/>
        </w:tabs>
        <w:ind w:left="2880" w:hanging="360"/>
      </w:pPr>
      <w:rPr>
        <w:rFonts w:ascii="Wingdings" w:hAnsi="Wingdings" w:hint="default"/>
      </w:rPr>
    </w:lvl>
    <w:lvl w:ilvl="4" w:tplc="1250D9A8" w:tentative="1">
      <w:start w:val="1"/>
      <w:numFmt w:val="bullet"/>
      <w:lvlText w:val="ü"/>
      <w:lvlJc w:val="left"/>
      <w:pPr>
        <w:tabs>
          <w:tab w:val="num" w:pos="3600"/>
        </w:tabs>
        <w:ind w:left="3600" w:hanging="360"/>
      </w:pPr>
      <w:rPr>
        <w:rFonts w:ascii="Wingdings" w:hAnsi="Wingdings" w:hint="default"/>
      </w:rPr>
    </w:lvl>
    <w:lvl w:ilvl="5" w:tplc="B104648E" w:tentative="1">
      <w:start w:val="1"/>
      <w:numFmt w:val="bullet"/>
      <w:lvlText w:val="ü"/>
      <w:lvlJc w:val="left"/>
      <w:pPr>
        <w:tabs>
          <w:tab w:val="num" w:pos="4320"/>
        </w:tabs>
        <w:ind w:left="4320" w:hanging="360"/>
      </w:pPr>
      <w:rPr>
        <w:rFonts w:ascii="Wingdings" w:hAnsi="Wingdings" w:hint="default"/>
      </w:rPr>
    </w:lvl>
    <w:lvl w:ilvl="6" w:tplc="21AC2310" w:tentative="1">
      <w:start w:val="1"/>
      <w:numFmt w:val="bullet"/>
      <w:lvlText w:val="ü"/>
      <w:lvlJc w:val="left"/>
      <w:pPr>
        <w:tabs>
          <w:tab w:val="num" w:pos="5040"/>
        </w:tabs>
        <w:ind w:left="5040" w:hanging="360"/>
      </w:pPr>
      <w:rPr>
        <w:rFonts w:ascii="Wingdings" w:hAnsi="Wingdings" w:hint="default"/>
      </w:rPr>
    </w:lvl>
    <w:lvl w:ilvl="7" w:tplc="A498C844" w:tentative="1">
      <w:start w:val="1"/>
      <w:numFmt w:val="bullet"/>
      <w:lvlText w:val="ü"/>
      <w:lvlJc w:val="left"/>
      <w:pPr>
        <w:tabs>
          <w:tab w:val="num" w:pos="5760"/>
        </w:tabs>
        <w:ind w:left="5760" w:hanging="360"/>
      </w:pPr>
      <w:rPr>
        <w:rFonts w:ascii="Wingdings" w:hAnsi="Wingdings" w:hint="default"/>
      </w:rPr>
    </w:lvl>
    <w:lvl w:ilvl="8" w:tplc="59465634" w:tentative="1">
      <w:start w:val="1"/>
      <w:numFmt w:val="bullet"/>
      <w:lvlText w:val="ü"/>
      <w:lvlJc w:val="left"/>
      <w:pPr>
        <w:tabs>
          <w:tab w:val="num" w:pos="6480"/>
        </w:tabs>
        <w:ind w:left="6480" w:hanging="360"/>
      </w:pPr>
      <w:rPr>
        <w:rFonts w:ascii="Wingdings" w:hAnsi="Wingdings" w:hint="default"/>
      </w:rPr>
    </w:lvl>
  </w:abstractNum>
  <w:abstractNum w:abstractNumId="15" w15:restartNumberingAfterBreak="0">
    <w:nsid w:val="71937627"/>
    <w:multiLevelType w:val="hybridMultilevel"/>
    <w:tmpl w:val="4582D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224795"/>
    <w:multiLevelType w:val="hybridMultilevel"/>
    <w:tmpl w:val="969A193A"/>
    <w:lvl w:ilvl="0" w:tplc="47B8D128">
      <w:start w:val="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D71D35"/>
    <w:multiLevelType w:val="hybridMultilevel"/>
    <w:tmpl w:val="7DDE1908"/>
    <w:lvl w:ilvl="0" w:tplc="A2FE7620">
      <w:start w:val="1"/>
      <w:numFmt w:val="bullet"/>
      <w:lvlText w:val="è"/>
      <w:lvlJc w:val="left"/>
      <w:pPr>
        <w:tabs>
          <w:tab w:val="num" w:pos="720"/>
        </w:tabs>
        <w:ind w:left="720" w:hanging="360"/>
      </w:pPr>
      <w:rPr>
        <w:rFonts w:ascii="Wingdings" w:hAnsi="Wingdings" w:hint="default"/>
      </w:rPr>
    </w:lvl>
    <w:lvl w:ilvl="1" w:tplc="0B9CBA4A" w:tentative="1">
      <w:start w:val="1"/>
      <w:numFmt w:val="bullet"/>
      <w:lvlText w:val="è"/>
      <w:lvlJc w:val="left"/>
      <w:pPr>
        <w:tabs>
          <w:tab w:val="num" w:pos="1440"/>
        </w:tabs>
        <w:ind w:left="1440" w:hanging="360"/>
      </w:pPr>
      <w:rPr>
        <w:rFonts w:ascii="Wingdings" w:hAnsi="Wingdings" w:hint="default"/>
      </w:rPr>
    </w:lvl>
    <w:lvl w:ilvl="2" w:tplc="48847780" w:tentative="1">
      <w:start w:val="1"/>
      <w:numFmt w:val="bullet"/>
      <w:lvlText w:val="è"/>
      <w:lvlJc w:val="left"/>
      <w:pPr>
        <w:tabs>
          <w:tab w:val="num" w:pos="2160"/>
        </w:tabs>
        <w:ind w:left="2160" w:hanging="360"/>
      </w:pPr>
      <w:rPr>
        <w:rFonts w:ascii="Wingdings" w:hAnsi="Wingdings" w:hint="default"/>
      </w:rPr>
    </w:lvl>
    <w:lvl w:ilvl="3" w:tplc="0240C23A" w:tentative="1">
      <w:start w:val="1"/>
      <w:numFmt w:val="bullet"/>
      <w:lvlText w:val="è"/>
      <w:lvlJc w:val="left"/>
      <w:pPr>
        <w:tabs>
          <w:tab w:val="num" w:pos="2880"/>
        </w:tabs>
        <w:ind w:left="2880" w:hanging="360"/>
      </w:pPr>
      <w:rPr>
        <w:rFonts w:ascii="Wingdings" w:hAnsi="Wingdings" w:hint="default"/>
      </w:rPr>
    </w:lvl>
    <w:lvl w:ilvl="4" w:tplc="B90C9078" w:tentative="1">
      <w:start w:val="1"/>
      <w:numFmt w:val="bullet"/>
      <w:lvlText w:val="è"/>
      <w:lvlJc w:val="left"/>
      <w:pPr>
        <w:tabs>
          <w:tab w:val="num" w:pos="3600"/>
        </w:tabs>
        <w:ind w:left="3600" w:hanging="360"/>
      </w:pPr>
      <w:rPr>
        <w:rFonts w:ascii="Wingdings" w:hAnsi="Wingdings" w:hint="default"/>
      </w:rPr>
    </w:lvl>
    <w:lvl w:ilvl="5" w:tplc="EDDCA064" w:tentative="1">
      <w:start w:val="1"/>
      <w:numFmt w:val="bullet"/>
      <w:lvlText w:val="è"/>
      <w:lvlJc w:val="left"/>
      <w:pPr>
        <w:tabs>
          <w:tab w:val="num" w:pos="4320"/>
        </w:tabs>
        <w:ind w:left="4320" w:hanging="360"/>
      </w:pPr>
      <w:rPr>
        <w:rFonts w:ascii="Wingdings" w:hAnsi="Wingdings" w:hint="default"/>
      </w:rPr>
    </w:lvl>
    <w:lvl w:ilvl="6" w:tplc="A4B07E98" w:tentative="1">
      <w:start w:val="1"/>
      <w:numFmt w:val="bullet"/>
      <w:lvlText w:val="è"/>
      <w:lvlJc w:val="left"/>
      <w:pPr>
        <w:tabs>
          <w:tab w:val="num" w:pos="5040"/>
        </w:tabs>
        <w:ind w:left="5040" w:hanging="360"/>
      </w:pPr>
      <w:rPr>
        <w:rFonts w:ascii="Wingdings" w:hAnsi="Wingdings" w:hint="default"/>
      </w:rPr>
    </w:lvl>
    <w:lvl w:ilvl="7" w:tplc="1FD8E79C" w:tentative="1">
      <w:start w:val="1"/>
      <w:numFmt w:val="bullet"/>
      <w:lvlText w:val="è"/>
      <w:lvlJc w:val="left"/>
      <w:pPr>
        <w:tabs>
          <w:tab w:val="num" w:pos="5760"/>
        </w:tabs>
        <w:ind w:left="5760" w:hanging="360"/>
      </w:pPr>
      <w:rPr>
        <w:rFonts w:ascii="Wingdings" w:hAnsi="Wingdings" w:hint="default"/>
      </w:rPr>
    </w:lvl>
    <w:lvl w:ilvl="8" w:tplc="F7DE9E4C" w:tentative="1">
      <w:start w:val="1"/>
      <w:numFmt w:val="bullet"/>
      <w:lvlText w:val="è"/>
      <w:lvlJc w:val="left"/>
      <w:pPr>
        <w:tabs>
          <w:tab w:val="num" w:pos="6480"/>
        </w:tabs>
        <w:ind w:left="6480" w:hanging="360"/>
      </w:pPr>
      <w:rPr>
        <w:rFonts w:ascii="Wingdings" w:hAnsi="Wingdings" w:hint="default"/>
      </w:rPr>
    </w:lvl>
  </w:abstractNum>
  <w:abstractNum w:abstractNumId="18" w15:restartNumberingAfterBreak="0">
    <w:nsid w:val="75965C3C"/>
    <w:multiLevelType w:val="hybridMultilevel"/>
    <w:tmpl w:val="EC644572"/>
    <w:lvl w:ilvl="0" w:tplc="C7905B74">
      <w:start w:val="4"/>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35AAB"/>
    <w:multiLevelType w:val="hybridMultilevel"/>
    <w:tmpl w:val="051C42C2"/>
    <w:lvl w:ilvl="0" w:tplc="02A24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7857D87"/>
    <w:multiLevelType w:val="hybridMultilevel"/>
    <w:tmpl w:val="E17AA60E"/>
    <w:lvl w:ilvl="0" w:tplc="13528166">
      <w:start w:val="2"/>
      <w:numFmt w:val="decimal"/>
      <w:lvlText w:val="%1."/>
      <w:lvlJc w:val="left"/>
      <w:pPr>
        <w:tabs>
          <w:tab w:val="num" w:pos="720"/>
        </w:tabs>
        <w:ind w:left="720" w:hanging="360"/>
      </w:pPr>
    </w:lvl>
    <w:lvl w:ilvl="1" w:tplc="BB621194" w:tentative="1">
      <w:start w:val="1"/>
      <w:numFmt w:val="decimal"/>
      <w:lvlText w:val="%2."/>
      <w:lvlJc w:val="left"/>
      <w:pPr>
        <w:tabs>
          <w:tab w:val="num" w:pos="1440"/>
        </w:tabs>
        <w:ind w:left="1440" w:hanging="360"/>
      </w:pPr>
    </w:lvl>
    <w:lvl w:ilvl="2" w:tplc="D108CFE4" w:tentative="1">
      <w:start w:val="1"/>
      <w:numFmt w:val="decimal"/>
      <w:lvlText w:val="%3."/>
      <w:lvlJc w:val="left"/>
      <w:pPr>
        <w:tabs>
          <w:tab w:val="num" w:pos="2160"/>
        </w:tabs>
        <w:ind w:left="2160" w:hanging="360"/>
      </w:pPr>
    </w:lvl>
    <w:lvl w:ilvl="3" w:tplc="1BD4EAEE" w:tentative="1">
      <w:start w:val="1"/>
      <w:numFmt w:val="decimal"/>
      <w:lvlText w:val="%4."/>
      <w:lvlJc w:val="left"/>
      <w:pPr>
        <w:tabs>
          <w:tab w:val="num" w:pos="2880"/>
        </w:tabs>
        <w:ind w:left="2880" w:hanging="360"/>
      </w:pPr>
    </w:lvl>
    <w:lvl w:ilvl="4" w:tplc="50BCB200" w:tentative="1">
      <w:start w:val="1"/>
      <w:numFmt w:val="decimal"/>
      <w:lvlText w:val="%5."/>
      <w:lvlJc w:val="left"/>
      <w:pPr>
        <w:tabs>
          <w:tab w:val="num" w:pos="3600"/>
        </w:tabs>
        <w:ind w:left="3600" w:hanging="360"/>
      </w:pPr>
    </w:lvl>
    <w:lvl w:ilvl="5" w:tplc="3BE2BA74" w:tentative="1">
      <w:start w:val="1"/>
      <w:numFmt w:val="decimal"/>
      <w:lvlText w:val="%6."/>
      <w:lvlJc w:val="left"/>
      <w:pPr>
        <w:tabs>
          <w:tab w:val="num" w:pos="4320"/>
        </w:tabs>
        <w:ind w:left="4320" w:hanging="360"/>
      </w:pPr>
    </w:lvl>
    <w:lvl w:ilvl="6" w:tplc="9D763D24" w:tentative="1">
      <w:start w:val="1"/>
      <w:numFmt w:val="decimal"/>
      <w:lvlText w:val="%7."/>
      <w:lvlJc w:val="left"/>
      <w:pPr>
        <w:tabs>
          <w:tab w:val="num" w:pos="5040"/>
        </w:tabs>
        <w:ind w:left="5040" w:hanging="360"/>
      </w:pPr>
    </w:lvl>
    <w:lvl w:ilvl="7" w:tplc="FC04B17C" w:tentative="1">
      <w:start w:val="1"/>
      <w:numFmt w:val="decimal"/>
      <w:lvlText w:val="%8."/>
      <w:lvlJc w:val="left"/>
      <w:pPr>
        <w:tabs>
          <w:tab w:val="num" w:pos="5760"/>
        </w:tabs>
        <w:ind w:left="5760" w:hanging="360"/>
      </w:pPr>
    </w:lvl>
    <w:lvl w:ilvl="8" w:tplc="94227A22" w:tentative="1">
      <w:start w:val="1"/>
      <w:numFmt w:val="decimal"/>
      <w:lvlText w:val="%9."/>
      <w:lvlJc w:val="left"/>
      <w:pPr>
        <w:tabs>
          <w:tab w:val="num" w:pos="6480"/>
        </w:tabs>
        <w:ind w:left="6480" w:hanging="360"/>
      </w:pPr>
    </w:lvl>
  </w:abstractNum>
  <w:num w:numId="1">
    <w:abstractNumId w:val="19"/>
  </w:num>
  <w:num w:numId="2">
    <w:abstractNumId w:val="1"/>
  </w:num>
  <w:num w:numId="3">
    <w:abstractNumId w:val="6"/>
  </w:num>
  <w:num w:numId="4">
    <w:abstractNumId w:val="4"/>
  </w:num>
  <w:num w:numId="5">
    <w:abstractNumId w:val="18"/>
  </w:num>
  <w:num w:numId="6">
    <w:abstractNumId w:val="16"/>
  </w:num>
  <w:num w:numId="7">
    <w:abstractNumId w:val="7"/>
  </w:num>
  <w:num w:numId="8">
    <w:abstractNumId w:val="9"/>
  </w:num>
  <w:num w:numId="9">
    <w:abstractNumId w:val="15"/>
  </w:num>
  <w:num w:numId="10">
    <w:abstractNumId w:val="2"/>
  </w:num>
  <w:num w:numId="11">
    <w:abstractNumId w:val="10"/>
  </w:num>
  <w:num w:numId="12">
    <w:abstractNumId w:val="0"/>
  </w:num>
  <w:num w:numId="13">
    <w:abstractNumId w:val="11"/>
  </w:num>
  <w:num w:numId="14">
    <w:abstractNumId w:val="5"/>
  </w:num>
  <w:num w:numId="15">
    <w:abstractNumId w:val="13"/>
  </w:num>
  <w:num w:numId="16">
    <w:abstractNumId w:val="3"/>
  </w:num>
  <w:num w:numId="17">
    <w:abstractNumId w:val="14"/>
  </w:num>
  <w:num w:numId="18">
    <w:abstractNumId w:val="20"/>
  </w:num>
  <w:num w:numId="19">
    <w:abstractNumId w:val="17"/>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82B"/>
    <w:rsid w:val="000038AA"/>
    <w:rsid w:val="00010521"/>
    <w:rsid w:val="00011C41"/>
    <w:rsid w:val="000127DD"/>
    <w:rsid w:val="00014AF7"/>
    <w:rsid w:val="0001509A"/>
    <w:rsid w:val="0002061C"/>
    <w:rsid w:val="000227A0"/>
    <w:rsid w:val="00034B33"/>
    <w:rsid w:val="00040EC9"/>
    <w:rsid w:val="00042A3F"/>
    <w:rsid w:val="00045F05"/>
    <w:rsid w:val="000465A6"/>
    <w:rsid w:val="00046725"/>
    <w:rsid w:val="00051354"/>
    <w:rsid w:val="0005677C"/>
    <w:rsid w:val="00056863"/>
    <w:rsid w:val="00056F75"/>
    <w:rsid w:val="00061671"/>
    <w:rsid w:val="00061EAB"/>
    <w:rsid w:val="00071837"/>
    <w:rsid w:val="000734A8"/>
    <w:rsid w:val="00082D7E"/>
    <w:rsid w:val="00084957"/>
    <w:rsid w:val="00084FE1"/>
    <w:rsid w:val="00086977"/>
    <w:rsid w:val="000869BA"/>
    <w:rsid w:val="00086E0D"/>
    <w:rsid w:val="000938FA"/>
    <w:rsid w:val="00096559"/>
    <w:rsid w:val="000A0ED0"/>
    <w:rsid w:val="000A147E"/>
    <w:rsid w:val="000A4D5B"/>
    <w:rsid w:val="000B465C"/>
    <w:rsid w:val="000B47FD"/>
    <w:rsid w:val="000C2939"/>
    <w:rsid w:val="000C562A"/>
    <w:rsid w:val="000C7D46"/>
    <w:rsid w:val="000D16E6"/>
    <w:rsid w:val="000D1E9E"/>
    <w:rsid w:val="000D2301"/>
    <w:rsid w:val="000D3F91"/>
    <w:rsid w:val="000D7178"/>
    <w:rsid w:val="000E1189"/>
    <w:rsid w:val="000E363A"/>
    <w:rsid w:val="000F0F25"/>
    <w:rsid w:val="000F4965"/>
    <w:rsid w:val="00110261"/>
    <w:rsid w:val="001110DA"/>
    <w:rsid w:val="00112EEB"/>
    <w:rsid w:val="00115770"/>
    <w:rsid w:val="00121CE6"/>
    <w:rsid w:val="00124705"/>
    <w:rsid w:val="00124904"/>
    <w:rsid w:val="00126D0F"/>
    <w:rsid w:val="001368AD"/>
    <w:rsid w:val="00137358"/>
    <w:rsid w:val="00147F37"/>
    <w:rsid w:val="0015236D"/>
    <w:rsid w:val="00153647"/>
    <w:rsid w:val="00153979"/>
    <w:rsid w:val="00161E74"/>
    <w:rsid w:val="00167732"/>
    <w:rsid w:val="00171615"/>
    <w:rsid w:val="00174138"/>
    <w:rsid w:val="0017430A"/>
    <w:rsid w:val="0017678C"/>
    <w:rsid w:val="00177AC2"/>
    <w:rsid w:val="00184A72"/>
    <w:rsid w:val="001876E0"/>
    <w:rsid w:val="00190D72"/>
    <w:rsid w:val="0019372E"/>
    <w:rsid w:val="001969A7"/>
    <w:rsid w:val="001A10B6"/>
    <w:rsid w:val="001A1E8F"/>
    <w:rsid w:val="001A635B"/>
    <w:rsid w:val="001B5BDB"/>
    <w:rsid w:val="001D2188"/>
    <w:rsid w:val="001F2A0D"/>
    <w:rsid w:val="001F330D"/>
    <w:rsid w:val="00202466"/>
    <w:rsid w:val="00202927"/>
    <w:rsid w:val="002038BC"/>
    <w:rsid w:val="00204A1F"/>
    <w:rsid w:val="00211F3A"/>
    <w:rsid w:val="00216EAD"/>
    <w:rsid w:val="002206AD"/>
    <w:rsid w:val="00224484"/>
    <w:rsid w:val="00224B92"/>
    <w:rsid w:val="00226DD8"/>
    <w:rsid w:val="00236E37"/>
    <w:rsid w:val="0023785D"/>
    <w:rsid w:val="00244F76"/>
    <w:rsid w:val="00245D9D"/>
    <w:rsid w:val="00251BE1"/>
    <w:rsid w:val="00251FF5"/>
    <w:rsid w:val="00253666"/>
    <w:rsid w:val="002548C5"/>
    <w:rsid w:val="00273947"/>
    <w:rsid w:val="00274C5D"/>
    <w:rsid w:val="002913A9"/>
    <w:rsid w:val="00294ADC"/>
    <w:rsid w:val="002A0B4F"/>
    <w:rsid w:val="002A0FB6"/>
    <w:rsid w:val="002A1879"/>
    <w:rsid w:val="002A29D0"/>
    <w:rsid w:val="002A4F9F"/>
    <w:rsid w:val="002A6EBE"/>
    <w:rsid w:val="002B687F"/>
    <w:rsid w:val="002C0769"/>
    <w:rsid w:val="002C34B9"/>
    <w:rsid w:val="002C7F09"/>
    <w:rsid w:val="002D364D"/>
    <w:rsid w:val="002D6050"/>
    <w:rsid w:val="002D758C"/>
    <w:rsid w:val="002D7C96"/>
    <w:rsid w:val="002E4684"/>
    <w:rsid w:val="002F282B"/>
    <w:rsid w:val="002F4670"/>
    <w:rsid w:val="002F5EB8"/>
    <w:rsid w:val="002F611E"/>
    <w:rsid w:val="002F6E76"/>
    <w:rsid w:val="0030291E"/>
    <w:rsid w:val="00306396"/>
    <w:rsid w:val="00307072"/>
    <w:rsid w:val="0031203E"/>
    <w:rsid w:val="00314E50"/>
    <w:rsid w:val="00315A99"/>
    <w:rsid w:val="00315D92"/>
    <w:rsid w:val="0032249B"/>
    <w:rsid w:val="0032390C"/>
    <w:rsid w:val="00334A09"/>
    <w:rsid w:val="00334EBF"/>
    <w:rsid w:val="003508E3"/>
    <w:rsid w:val="00351D16"/>
    <w:rsid w:val="003526B1"/>
    <w:rsid w:val="003577EA"/>
    <w:rsid w:val="0036660F"/>
    <w:rsid w:val="00366F3C"/>
    <w:rsid w:val="00373F39"/>
    <w:rsid w:val="00385028"/>
    <w:rsid w:val="003905AA"/>
    <w:rsid w:val="0039589F"/>
    <w:rsid w:val="00397358"/>
    <w:rsid w:val="003A13C3"/>
    <w:rsid w:val="003A2622"/>
    <w:rsid w:val="003A2764"/>
    <w:rsid w:val="003A42EB"/>
    <w:rsid w:val="003A5F8D"/>
    <w:rsid w:val="003A6418"/>
    <w:rsid w:val="003B0FEA"/>
    <w:rsid w:val="003C096B"/>
    <w:rsid w:val="003C6BE3"/>
    <w:rsid w:val="003C6FF2"/>
    <w:rsid w:val="003D2432"/>
    <w:rsid w:val="003E1919"/>
    <w:rsid w:val="003E5131"/>
    <w:rsid w:val="003E64C0"/>
    <w:rsid w:val="003F3143"/>
    <w:rsid w:val="003F3CED"/>
    <w:rsid w:val="003F4275"/>
    <w:rsid w:val="003F63E1"/>
    <w:rsid w:val="003F6A20"/>
    <w:rsid w:val="00401653"/>
    <w:rsid w:val="00403B6A"/>
    <w:rsid w:val="00404FD3"/>
    <w:rsid w:val="00413456"/>
    <w:rsid w:val="004163AE"/>
    <w:rsid w:val="00417E08"/>
    <w:rsid w:val="00422300"/>
    <w:rsid w:val="00424ECB"/>
    <w:rsid w:val="00436149"/>
    <w:rsid w:val="00436E32"/>
    <w:rsid w:val="00440ABC"/>
    <w:rsid w:val="00443C39"/>
    <w:rsid w:val="00444069"/>
    <w:rsid w:val="00445DDB"/>
    <w:rsid w:val="00450603"/>
    <w:rsid w:val="00451327"/>
    <w:rsid w:val="00452F5D"/>
    <w:rsid w:val="004534D4"/>
    <w:rsid w:val="00465215"/>
    <w:rsid w:val="00465BF3"/>
    <w:rsid w:val="00467E8B"/>
    <w:rsid w:val="00476028"/>
    <w:rsid w:val="00480BAB"/>
    <w:rsid w:val="00485EBF"/>
    <w:rsid w:val="0049243F"/>
    <w:rsid w:val="00492A6A"/>
    <w:rsid w:val="00496128"/>
    <w:rsid w:val="004A00F3"/>
    <w:rsid w:val="004A2112"/>
    <w:rsid w:val="004A392C"/>
    <w:rsid w:val="004A556A"/>
    <w:rsid w:val="004B128D"/>
    <w:rsid w:val="004C0794"/>
    <w:rsid w:val="004C079E"/>
    <w:rsid w:val="004D48E5"/>
    <w:rsid w:val="004F08E0"/>
    <w:rsid w:val="004F0CC0"/>
    <w:rsid w:val="004F26AF"/>
    <w:rsid w:val="004F286B"/>
    <w:rsid w:val="004F6BC3"/>
    <w:rsid w:val="005002D0"/>
    <w:rsid w:val="00511F93"/>
    <w:rsid w:val="00516F33"/>
    <w:rsid w:val="0051780A"/>
    <w:rsid w:val="005239CE"/>
    <w:rsid w:val="005253E9"/>
    <w:rsid w:val="00526566"/>
    <w:rsid w:val="005307B9"/>
    <w:rsid w:val="005329A0"/>
    <w:rsid w:val="00536252"/>
    <w:rsid w:val="00541B6A"/>
    <w:rsid w:val="0054416A"/>
    <w:rsid w:val="005517D3"/>
    <w:rsid w:val="00552162"/>
    <w:rsid w:val="00564036"/>
    <w:rsid w:val="0056672A"/>
    <w:rsid w:val="005717D8"/>
    <w:rsid w:val="00593505"/>
    <w:rsid w:val="005945AE"/>
    <w:rsid w:val="00596362"/>
    <w:rsid w:val="005A2C6B"/>
    <w:rsid w:val="005A3056"/>
    <w:rsid w:val="005A4024"/>
    <w:rsid w:val="005A6D50"/>
    <w:rsid w:val="005B0D59"/>
    <w:rsid w:val="005B7589"/>
    <w:rsid w:val="005D1863"/>
    <w:rsid w:val="005D21E6"/>
    <w:rsid w:val="005D4A46"/>
    <w:rsid w:val="005D5437"/>
    <w:rsid w:val="005D586D"/>
    <w:rsid w:val="005E00F9"/>
    <w:rsid w:val="005E1387"/>
    <w:rsid w:val="005E1873"/>
    <w:rsid w:val="005E3D6A"/>
    <w:rsid w:val="005E51F3"/>
    <w:rsid w:val="005E5339"/>
    <w:rsid w:val="005E5EAF"/>
    <w:rsid w:val="005E6F46"/>
    <w:rsid w:val="005E73A9"/>
    <w:rsid w:val="005F3293"/>
    <w:rsid w:val="00600209"/>
    <w:rsid w:val="00605E48"/>
    <w:rsid w:val="006060B0"/>
    <w:rsid w:val="00614817"/>
    <w:rsid w:val="0061603B"/>
    <w:rsid w:val="00620073"/>
    <w:rsid w:val="0062033D"/>
    <w:rsid w:val="00625E5B"/>
    <w:rsid w:val="00630121"/>
    <w:rsid w:val="00637288"/>
    <w:rsid w:val="0064228E"/>
    <w:rsid w:val="006453ED"/>
    <w:rsid w:val="006527E3"/>
    <w:rsid w:val="0065518F"/>
    <w:rsid w:val="00657475"/>
    <w:rsid w:val="00660BDC"/>
    <w:rsid w:val="006623BB"/>
    <w:rsid w:val="0067623A"/>
    <w:rsid w:val="00683285"/>
    <w:rsid w:val="00684844"/>
    <w:rsid w:val="00685ADD"/>
    <w:rsid w:val="00690422"/>
    <w:rsid w:val="00692324"/>
    <w:rsid w:val="00693146"/>
    <w:rsid w:val="00697FA9"/>
    <w:rsid w:val="006A4748"/>
    <w:rsid w:val="006B47B2"/>
    <w:rsid w:val="006B5075"/>
    <w:rsid w:val="006C3429"/>
    <w:rsid w:val="006D06A6"/>
    <w:rsid w:val="006E4106"/>
    <w:rsid w:val="006E41B9"/>
    <w:rsid w:val="006E582C"/>
    <w:rsid w:val="006F3B54"/>
    <w:rsid w:val="006F4C01"/>
    <w:rsid w:val="00700B07"/>
    <w:rsid w:val="0070455E"/>
    <w:rsid w:val="007063BC"/>
    <w:rsid w:val="00713A96"/>
    <w:rsid w:val="00713BF0"/>
    <w:rsid w:val="00716683"/>
    <w:rsid w:val="00720318"/>
    <w:rsid w:val="00720B02"/>
    <w:rsid w:val="00722705"/>
    <w:rsid w:val="00732489"/>
    <w:rsid w:val="00733094"/>
    <w:rsid w:val="00736ACC"/>
    <w:rsid w:val="00751EC2"/>
    <w:rsid w:val="00756F08"/>
    <w:rsid w:val="0075769D"/>
    <w:rsid w:val="00761ACD"/>
    <w:rsid w:val="00761CA6"/>
    <w:rsid w:val="0076525D"/>
    <w:rsid w:val="00766666"/>
    <w:rsid w:val="00771EB0"/>
    <w:rsid w:val="007723C5"/>
    <w:rsid w:val="0077457C"/>
    <w:rsid w:val="00777BD5"/>
    <w:rsid w:val="00781002"/>
    <w:rsid w:val="00785B17"/>
    <w:rsid w:val="007860A4"/>
    <w:rsid w:val="007864BF"/>
    <w:rsid w:val="00787D76"/>
    <w:rsid w:val="007932A5"/>
    <w:rsid w:val="00797815"/>
    <w:rsid w:val="007B0047"/>
    <w:rsid w:val="007B4040"/>
    <w:rsid w:val="007B692D"/>
    <w:rsid w:val="007B766B"/>
    <w:rsid w:val="007C2576"/>
    <w:rsid w:val="007C5476"/>
    <w:rsid w:val="007C5A9C"/>
    <w:rsid w:val="007D4343"/>
    <w:rsid w:val="007D5A30"/>
    <w:rsid w:val="007E14A2"/>
    <w:rsid w:val="007E188F"/>
    <w:rsid w:val="007E63CF"/>
    <w:rsid w:val="007E66D9"/>
    <w:rsid w:val="007E6702"/>
    <w:rsid w:val="007F1BC9"/>
    <w:rsid w:val="007F7E17"/>
    <w:rsid w:val="008014D3"/>
    <w:rsid w:val="00807986"/>
    <w:rsid w:val="00810224"/>
    <w:rsid w:val="008110F5"/>
    <w:rsid w:val="00815A32"/>
    <w:rsid w:val="00823C41"/>
    <w:rsid w:val="008273FF"/>
    <w:rsid w:val="008308F5"/>
    <w:rsid w:val="00832401"/>
    <w:rsid w:val="00832C6C"/>
    <w:rsid w:val="0084186A"/>
    <w:rsid w:val="00854A5F"/>
    <w:rsid w:val="0086010F"/>
    <w:rsid w:val="0086035B"/>
    <w:rsid w:val="00863F84"/>
    <w:rsid w:val="00872394"/>
    <w:rsid w:val="00873FF3"/>
    <w:rsid w:val="008740BC"/>
    <w:rsid w:val="00880702"/>
    <w:rsid w:val="00884F10"/>
    <w:rsid w:val="00887DDD"/>
    <w:rsid w:val="00894ADF"/>
    <w:rsid w:val="00894FB6"/>
    <w:rsid w:val="00895CFC"/>
    <w:rsid w:val="008A1555"/>
    <w:rsid w:val="008A31C4"/>
    <w:rsid w:val="008A3BC1"/>
    <w:rsid w:val="008A422A"/>
    <w:rsid w:val="008A5104"/>
    <w:rsid w:val="008B2983"/>
    <w:rsid w:val="008B2A80"/>
    <w:rsid w:val="008B3BC2"/>
    <w:rsid w:val="008C1A97"/>
    <w:rsid w:val="008C31D9"/>
    <w:rsid w:val="008D15F6"/>
    <w:rsid w:val="008D4808"/>
    <w:rsid w:val="008D5182"/>
    <w:rsid w:val="008E1206"/>
    <w:rsid w:val="008F578B"/>
    <w:rsid w:val="008F7F88"/>
    <w:rsid w:val="00905A32"/>
    <w:rsid w:val="00913842"/>
    <w:rsid w:val="00916334"/>
    <w:rsid w:val="00916644"/>
    <w:rsid w:val="0092193E"/>
    <w:rsid w:val="00921E69"/>
    <w:rsid w:val="009279FF"/>
    <w:rsid w:val="00927F88"/>
    <w:rsid w:val="00933179"/>
    <w:rsid w:val="009336A1"/>
    <w:rsid w:val="009351E7"/>
    <w:rsid w:val="00942289"/>
    <w:rsid w:val="009453E5"/>
    <w:rsid w:val="00945532"/>
    <w:rsid w:val="00947F3B"/>
    <w:rsid w:val="0095132C"/>
    <w:rsid w:val="00961A8B"/>
    <w:rsid w:val="009726BB"/>
    <w:rsid w:val="0097423B"/>
    <w:rsid w:val="0098055C"/>
    <w:rsid w:val="00980F9D"/>
    <w:rsid w:val="00982580"/>
    <w:rsid w:val="00985A53"/>
    <w:rsid w:val="00986383"/>
    <w:rsid w:val="00990A39"/>
    <w:rsid w:val="0099289E"/>
    <w:rsid w:val="00992AE8"/>
    <w:rsid w:val="00994648"/>
    <w:rsid w:val="0099495F"/>
    <w:rsid w:val="009A41D2"/>
    <w:rsid w:val="009A457E"/>
    <w:rsid w:val="009B0971"/>
    <w:rsid w:val="009B14EC"/>
    <w:rsid w:val="009B1B5D"/>
    <w:rsid w:val="009B3E54"/>
    <w:rsid w:val="009B5585"/>
    <w:rsid w:val="009B755C"/>
    <w:rsid w:val="009C6A5A"/>
    <w:rsid w:val="009C7CAD"/>
    <w:rsid w:val="009D06FC"/>
    <w:rsid w:val="009D0BB9"/>
    <w:rsid w:val="009D0DF5"/>
    <w:rsid w:val="009D33F6"/>
    <w:rsid w:val="009D46B4"/>
    <w:rsid w:val="009D74F8"/>
    <w:rsid w:val="009E0E28"/>
    <w:rsid w:val="009E4AF6"/>
    <w:rsid w:val="009E4C74"/>
    <w:rsid w:val="00A025D2"/>
    <w:rsid w:val="00A054A2"/>
    <w:rsid w:val="00A05A54"/>
    <w:rsid w:val="00A064EF"/>
    <w:rsid w:val="00A12FB4"/>
    <w:rsid w:val="00A23676"/>
    <w:rsid w:val="00A25401"/>
    <w:rsid w:val="00A27FFB"/>
    <w:rsid w:val="00A348A7"/>
    <w:rsid w:val="00A35FAD"/>
    <w:rsid w:val="00A37F5C"/>
    <w:rsid w:val="00A41434"/>
    <w:rsid w:val="00A41E52"/>
    <w:rsid w:val="00A521AF"/>
    <w:rsid w:val="00A54CBD"/>
    <w:rsid w:val="00A56F72"/>
    <w:rsid w:val="00A60FA1"/>
    <w:rsid w:val="00A725DF"/>
    <w:rsid w:val="00A72B0A"/>
    <w:rsid w:val="00A76024"/>
    <w:rsid w:val="00A82B88"/>
    <w:rsid w:val="00A8339D"/>
    <w:rsid w:val="00A8404F"/>
    <w:rsid w:val="00A87C33"/>
    <w:rsid w:val="00A926AF"/>
    <w:rsid w:val="00A96B79"/>
    <w:rsid w:val="00AA6EE2"/>
    <w:rsid w:val="00AB2573"/>
    <w:rsid w:val="00AB2F5B"/>
    <w:rsid w:val="00AB3B4C"/>
    <w:rsid w:val="00AB4A79"/>
    <w:rsid w:val="00AB68FF"/>
    <w:rsid w:val="00AB6CC5"/>
    <w:rsid w:val="00AD0BC6"/>
    <w:rsid w:val="00AE18F0"/>
    <w:rsid w:val="00AE527C"/>
    <w:rsid w:val="00AE709C"/>
    <w:rsid w:val="00AE79E5"/>
    <w:rsid w:val="00AF03F2"/>
    <w:rsid w:val="00AF5C10"/>
    <w:rsid w:val="00B05D6E"/>
    <w:rsid w:val="00B11F20"/>
    <w:rsid w:val="00B12B01"/>
    <w:rsid w:val="00B2160B"/>
    <w:rsid w:val="00B22E8F"/>
    <w:rsid w:val="00B25987"/>
    <w:rsid w:val="00B32650"/>
    <w:rsid w:val="00B349E6"/>
    <w:rsid w:val="00B35837"/>
    <w:rsid w:val="00B37C77"/>
    <w:rsid w:val="00B415AE"/>
    <w:rsid w:val="00B47A25"/>
    <w:rsid w:val="00B51AD3"/>
    <w:rsid w:val="00B53CAC"/>
    <w:rsid w:val="00B555DC"/>
    <w:rsid w:val="00B55E35"/>
    <w:rsid w:val="00B575BF"/>
    <w:rsid w:val="00B605FB"/>
    <w:rsid w:val="00B743F0"/>
    <w:rsid w:val="00B80DDD"/>
    <w:rsid w:val="00B854A7"/>
    <w:rsid w:val="00B903B5"/>
    <w:rsid w:val="00B911A9"/>
    <w:rsid w:val="00B9726D"/>
    <w:rsid w:val="00B973EF"/>
    <w:rsid w:val="00BA03D8"/>
    <w:rsid w:val="00BA4423"/>
    <w:rsid w:val="00BB2EAF"/>
    <w:rsid w:val="00BB329E"/>
    <w:rsid w:val="00BC2445"/>
    <w:rsid w:val="00BC2532"/>
    <w:rsid w:val="00BC2E59"/>
    <w:rsid w:val="00BC345C"/>
    <w:rsid w:val="00BD7298"/>
    <w:rsid w:val="00BE148D"/>
    <w:rsid w:val="00BE3263"/>
    <w:rsid w:val="00BE62E0"/>
    <w:rsid w:val="00BF2A4B"/>
    <w:rsid w:val="00C0164A"/>
    <w:rsid w:val="00C10F75"/>
    <w:rsid w:val="00C113DC"/>
    <w:rsid w:val="00C23938"/>
    <w:rsid w:val="00C30648"/>
    <w:rsid w:val="00C31B04"/>
    <w:rsid w:val="00C411CB"/>
    <w:rsid w:val="00C41D23"/>
    <w:rsid w:val="00C46CC2"/>
    <w:rsid w:val="00C53452"/>
    <w:rsid w:val="00C547C5"/>
    <w:rsid w:val="00C56064"/>
    <w:rsid w:val="00C56F48"/>
    <w:rsid w:val="00C61E2F"/>
    <w:rsid w:val="00C63FA6"/>
    <w:rsid w:val="00C70040"/>
    <w:rsid w:val="00C76946"/>
    <w:rsid w:val="00C77445"/>
    <w:rsid w:val="00C80AD3"/>
    <w:rsid w:val="00C8122C"/>
    <w:rsid w:val="00C81A5F"/>
    <w:rsid w:val="00C82651"/>
    <w:rsid w:val="00C852D3"/>
    <w:rsid w:val="00C90778"/>
    <w:rsid w:val="00C93A1E"/>
    <w:rsid w:val="00CA1A28"/>
    <w:rsid w:val="00CA2F6F"/>
    <w:rsid w:val="00CB2E5F"/>
    <w:rsid w:val="00CC1571"/>
    <w:rsid w:val="00CC1ED9"/>
    <w:rsid w:val="00CC32C8"/>
    <w:rsid w:val="00CC5234"/>
    <w:rsid w:val="00CC5F2A"/>
    <w:rsid w:val="00CC76FD"/>
    <w:rsid w:val="00CD0DED"/>
    <w:rsid w:val="00CD2769"/>
    <w:rsid w:val="00CE3F67"/>
    <w:rsid w:val="00CE4A5F"/>
    <w:rsid w:val="00CF0C7E"/>
    <w:rsid w:val="00CF253F"/>
    <w:rsid w:val="00CF2BA0"/>
    <w:rsid w:val="00CF31B3"/>
    <w:rsid w:val="00CF3241"/>
    <w:rsid w:val="00CF4E34"/>
    <w:rsid w:val="00CF5119"/>
    <w:rsid w:val="00CF6891"/>
    <w:rsid w:val="00CF70CA"/>
    <w:rsid w:val="00D0103A"/>
    <w:rsid w:val="00D0535C"/>
    <w:rsid w:val="00D23A9B"/>
    <w:rsid w:val="00D27ADF"/>
    <w:rsid w:val="00D30CDA"/>
    <w:rsid w:val="00D34EED"/>
    <w:rsid w:val="00D34F59"/>
    <w:rsid w:val="00D45B27"/>
    <w:rsid w:val="00D51D74"/>
    <w:rsid w:val="00D53D3D"/>
    <w:rsid w:val="00D53DDC"/>
    <w:rsid w:val="00D54F90"/>
    <w:rsid w:val="00D55432"/>
    <w:rsid w:val="00D56FD8"/>
    <w:rsid w:val="00D61158"/>
    <w:rsid w:val="00D63AC2"/>
    <w:rsid w:val="00D65955"/>
    <w:rsid w:val="00D66F61"/>
    <w:rsid w:val="00D70B79"/>
    <w:rsid w:val="00D72945"/>
    <w:rsid w:val="00D77C8B"/>
    <w:rsid w:val="00D8306F"/>
    <w:rsid w:val="00D8493E"/>
    <w:rsid w:val="00D95746"/>
    <w:rsid w:val="00D96157"/>
    <w:rsid w:val="00D96352"/>
    <w:rsid w:val="00D97874"/>
    <w:rsid w:val="00DA104B"/>
    <w:rsid w:val="00DA1608"/>
    <w:rsid w:val="00DA44F0"/>
    <w:rsid w:val="00DB38D3"/>
    <w:rsid w:val="00DB3BCE"/>
    <w:rsid w:val="00DB48F7"/>
    <w:rsid w:val="00DD2DFA"/>
    <w:rsid w:val="00DD4F7C"/>
    <w:rsid w:val="00DE616A"/>
    <w:rsid w:val="00DF0C67"/>
    <w:rsid w:val="00DF1150"/>
    <w:rsid w:val="00E00A18"/>
    <w:rsid w:val="00E03035"/>
    <w:rsid w:val="00E20185"/>
    <w:rsid w:val="00E21714"/>
    <w:rsid w:val="00E2515D"/>
    <w:rsid w:val="00E330BC"/>
    <w:rsid w:val="00E346E4"/>
    <w:rsid w:val="00E436F9"/>
    <w:rsid w:val="00E451C1"/>
    <w:rsid w:val="00E51D5C"/>
    <w:rsid w:val="00E51EB1"/>
    <w:rsid w:val="00E56181"/>
    <w:rsid w:val="00E5625A"/>
    <w:rsid w:val="00E56B14"/>
    <w:rsid w:val="00E64ED3"/>
    <w:rsid w:val="00E6671A"/>
    <w:rsid w:val="00E75A69"/>
    <w:rsid w:val="00E75CD0"/>
    <w:rsid w:val="00E76EC5"/>
    <w:rsid w:val="00E77494"/>
    <w:rsid w:val="00E77C68"/>
    <w:rsid w:val="00E8770E"/>
    <w:rsid w:val="00E960C4"/>
    <w:rsid w:val="00EA2478"/>
    <w:rsid w:val="00EA39AF"/>
    <w:rsid w:val="00EA444B"/>
    <w:rsid w:val="00EA761C"/>
    <w:rsid w:val="00EB612D"/>
    <w:rsid w:val="00EB79DD"/>
    <w:rsid w:val="00EC022B"/>
    <w:rsid w:val="00EC1355"/>
    <w:rsid w:val="00ED0118"/>
    <w:rsid w:val="00ED0C46"/>
    <w:rsid w:val="00ED6AF4"/>
    <w:rsid w:val="00F0285D"/>
    <w:rsid w:val="00F05542"/>
    <w:rsid w:val="00F0604F"/>
    <w:rsid w:val="00F101CE"/>
    <w:rsid w:val="00F12FD6"/>
    <w:rsid w:val="00F13A9F"/>
    <w:rsid w:val="00F15D4D"/>
    <w:rsid w:val="00F17F57"/>
    <w:rsid w:val="00F17FC0"/>
    <w:rsid w:val="00F2638A"/>
    <w:rsid w:val="00F31CA4"/>
    <w:rsid w:val="00F43B08"/>
    <w:rsid w:val="00F441E3"/>
    <w:rsid w:val="00F51A43"/>
    <w:rsid w:val="00F564A8"/>
    <w:rsid w:val="00F56A64"/>
    <w:rsid w:val="00F57DD3"/>
    <w:rsid w:val="00F65647"/>
    <w:rsid w:val="00F87B6A"/>
    <w:rsid w:val="00F96B2D"/>
    <w:rsid w:val="00F96B79"/>
    <w:rsid w:val="00F97858"/>
    <w:rsid w:val="00F97B02"/>
    <w:rsid w:val="00FA1F5E"/>
    <w:rsid w:val="00FA2A6B"/>
    <w:rsid w:val="00FA52A9"/>
    <w:rsid w:val="00FA6B8B"/>
    <w:rsid w:val="00FB2AF7"/>
    <w:rsid w:val="00FB6976"/>
    <w:rsid w:val="00FC3845"/>
    <w:rsid w:val="00FC56E3"/>
    <w:rsid w:val="00FE7355"/>
    <w:rsid w:val="00FF255B"/>
    <w:rsid w:val="00FF6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8B52C"/>
  <w15:chartTrackingRefBased/>
  <w15:docId w15:val="{2062158D-5CB0-9A45-BB09-B7159EF8B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3CF"/>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ECB"/>
    <w:pPr>
      <w:ind w:left="720"/>
      <w:contextualSpacing/>
    </w:pPr>
  </w:style>
  <w:style w:type="table" w:styleId="TableGrid">
    <w:name w:val="Table Grid"/>
    <w:basedOn w:val="TableNormal"/>
    <w:uiPriority w:val="39"/>
    <w:rsid w:val="00C90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16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615"/>
    <w:rPr>
      <w:rFonts w:ascii="Segoe UI" w:eastAsia="Courier New" w:hAnsi="Segoe UI" w:cs="Segoe UI"/>
      <w:color w:val="000000"/>
      <w:kern w:val="0"/>
      <w:sz w:val="18"/>
      <w:szCs w:val="18"/>
      <w:lang w:val="vi-VN" w:eastAsia="vi-VN" w:bidi="vi-VN"/>
      <w14:ligatures w14:val="none"/>
    </w:rPr>
  </w:style>
  <w:style w:type="paragraph" w:styleId="FootnoteText">
    <w:name w:val="footnote text"/>
    <w:basedOn w:val="Normal"/>
    <w:link w:val="FootnoteTextChar"/>
    <w:uiPriority w:val="99"/>
    <w:unhideWhenUsed/>
    <w:rsid w:val="008F7F88"/>
    <w:rPr>
      <w:noProof/>
      <w:sz w:val="20"/>
      <w:szCs w:val="20"/>
    </w:rPr>
  </w:style>
  <w:style w:type="character" w:customStyle="1" w:styleId="FootnoteTextChar">
    <w:name w:val="Footnote Text Char"/>
    <w:basedOn w:val="DefaultParagraphFont"/>
    <w:link w:val="FootnoteText"/>
    <w:uiPriority w:val="99"/>
    <w:rsid w:val="008F7F88"/>
    <w:rPr>
      <w:rFonts w:ascii="Times New Roman" w:eastAsia="Times New Roman" w:hAnsi="Times New Roman" w:cs="Times New Roman"/>
      <w:noProof/>
      <w:kern w:val="0"/>
      <w:sz w:val="20"/>
      <w:szCs w:val="20"/>
      <w14:ligatures w14:val="none"/>
    </w:rPr>
  </w:style>
  <w:style w:type="character" w:styleId="FootnoteReference">
    <w:name w:val="footnote reference"/>
    <w:aliases w:val="Footnote text,Footnote,ftref,16 Point,Superscript 6 Point,Footnote symbol,Footnote reference number,note TESI,BearingPoint,fr,Footnote Text1,de nota al pie,Footnote + Arial,10 pt,Black,Footnote Text11,BVI fnr,(NECG) Footnote Reference"/>
    <w:uiPriority w:val="99"/>
    <w:unhideWhenUsed/>
    <w:qFormat/>
    <w:rsid w:val="008F7F88"/>
    <w:rPr>
      <w:vertAlign w:val="superscript"/>
    </w:rPr>
  </w:style>
  <w:style w:type="paragraph" w:styleId="NormalWeb">
    <w:name w:val="Normal (Web)"/>
    <w:basedOn w:val="Normal"/>
    <w:uiPriority w:val="99"/>
    <w:semiHidden/>
    <w:unhideWhenUsed/>
    <w:rsid w:val="00E51EB1"/>
    <w:pPr>
      <w:spacing w:before="100" w:beforeAutospacing="1" w:after="100" w:afterAutospacing="1"/>
    </w:pPr>
  </w:style>
  <w:style w:type="paragraph" w:styleId="Header">
    <w:name w:val="header"/>
    <w:basedOn w:val="Normal"/>
    <w:link w:val="HeaderChar"/>
    <w:uiPriority w:val="99"/>
    <w:unhideWhenUsed/>
    <w:rsid w:val="009A41D2"/>
    <w:pPr>
      <w:tabs>
        <w:tab w:val="center" w:pos="4680"/>
        <w:tab w:val="right" w:pos="9360"/>
      </w:tabs>
    </w:pPr>
  </w:style>
  <w:style w:type="character" w:customStyle="1" w:styleId="HeaderChar">
    <w:name w:val="Header Char"/>
    <w:basedOn w:val="DefaultParagraphFont"/>
    <w:link w:val="Header"/>
    <w:uiPriority w:val="99"/>
    <w:rsid w:val="009A41D2"/>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9A4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19732">
      <w:bodyDiv w:val="1"/>
      <w:marLeft w:val="0"/>
      <w:marRight w:val="0"/>
      <w:marTop w:val="0"/>
      <w:marBottom w:val="0"/>
      <w:divBdr>
        <w:top w:val="none" w:sz="0" w:space="0" w:color="auto"/>
        <w:left w:val="none" w:sz="0" w:space="0" w:color="auto"/>
        <w:bottom w:val="none" w:sz="0" w:space="0" w:color="auto"/>
        <w:right w:val="none" w:sz="0" w:space="0" w:color="auto"/>
      </w:divBdr>
    </w:div>
    <w:div w:id="121457882">
      <w:bodyDiv w:val="1"/>
      <w:marLeft w:val="0"/>
      <w:marRight w:val="0"/>
      <w:marTop w:val="0"/>
      <w:marBottom w:val="0"/>
      <w:divBdr>
        <w:top w:val="none" w:sz="0" w:space="0" w:color="auto"/>
        <w:left w:val="none" w:sz="0" w:space="0" w:color="auto"/>
        <w:bottom w:val="none" w:sz="0" w:space="0" w:color="auto"/>
        <w:right w:val="none" w:sz="0" w:space="0" w:color="auto"/>
      </w:divBdr>
      <w:divsChild>
        <w:div w:id="137693383">
          <w:marLeft w:val="547"/>
          <w:marRight w:val="0"/>
          <w:marTop w:val="0"/>
          <w:marBottom w:val="0"/>
          <w:divBdr>
            <w:top w:val="none" w:sz="0" w:space="0" w:color="auto"/>
            <w:left w:val="none" w:sz="0" w:space="0" w:color="auto"/>
            <w:bottom w:val="none" w:sz="0" w:space="0" w:color="auto"/>
            <w:right w:val="none" w:sz="0" w:space="0" w:color="auto"/>
          </w:divBdr>
        </w:div>
        <w:div w:id="1454978862">
          <w:marLeft w:val="547"/>
          <w:marRight w:val="0"/>
          <w:marTop w:val="0"/>
          <w:marBottom w:val="0"/>
          <w:divBdr>
            <w:top w:val="none" w:sz="0" w:space="0" w:color="auto"/>
            <w:left w:val="none" w:sz="0" w:space="0" w:color="auto"/>
            <w:bottom w:val="none" w:sz="0" w:space="0" w:color="auto"/>
            <w:right w:val="none" w:sz="0" w:space="0" w:color="auto"/>
          </w:divBdr>
        </w:div>
      </w:divsChild>
    </w:div>
    <w:div w:id="305161328">
      <w:bodyDiv w:val="1"/>
      <w:marLeft w:val="0"/>
      <w:marRight w:val="0"/>
      <w:marTop w:val="0"/>
      <w:marBottom w:val="0"/>
      <w:divBdr>
        <w:top w:val="none" w:sz="0" w:space="0" w:color="auto"/>
        <w:left w:val="none" w:sz="0" w:space="0" w:color="auto"/>
        <w:bottom w:val="none" w:sz="0" w:space="0" w:color="auto"/>
        <w:right w:val="none" w:sz="0" w:space="0" w:color="auto"/>
      </w:divBdr>
      <w:divsChild>
        <w:div w:id="1092093275">
          <w:marLeft w:val="547"/>
          <w:marRight w:val="0"/>
          <w:marTop w:val="0"/>
          <w:marBottom w:val="240"/>
          <w:divBdr>
            <w:top w:val="none" w:sz="0" w:space="0" w:color="auto"/>
            <w:left w:val="none" w:sz="0" w:space="0" w:color="auto"/>
            <w:bottom w:val="none" w:sz="0" w:space="0" w:color="auto"/>
            <w:right w:val="none" w:sz="0" w:space="0" w:color="auto"/>
          </w:divBdr>
        </w:div>
        <w:div w:id="1467699213">
          <w:marLeft w:val="547"/>
          <w:marRight w:val="0"/>
          <w:marTop w:val="0"/>
          <w:marBottom w:val="240"/>
          <w:divBdr>
            <w:top w:val="none" w:sz="0" w:space="0" w:color="auto"/>
            <w:left w:val="none" w:sz="0" w:space="0" w:color="auto"/>
            <w:bottom w:val="none" w:sz="0" w:space="0" w:color="auto"/>
            <w:right w:val="none" w:sz="0" w:space="0" w:color="auto"/>
          </w:divBdr>
        </w:div>
        <w:div w:id="1570772710">
          <w:marLeft w:val="547"/>
          <w:marRight w:val="0"/>
          <w:marTop w:val="0"/>
          <w:marBottom w:val="240"/>
          <w:divBdr>
            <w:top w:val="none" w:sz="0" w:space="0" w:color="auto"/>
            <w:left w:val="none" w:sz="0" w:space="0" w:color="auto"/>
            <w:bottom w:val="none" w:sz="0" w:space="0" w:color="auto"/>
            <w:right w:val="none" w:sz="0" w:space="0" w:color="auto"/>
          </w:divBdr>
        </w:div>
      </w:divsChild>
    </w:div>
    <w:div w:id="568270051">
      <w:bodyDiv w:val="1"/>
      <w:marLeft w:val="0"/>
      <w:marRight w:val="0"/>
      <w:marTop w:val="0"/>
      <w:marBottom w:val="0"/>
      <w:divBdr>
        <w:top w:val="none" w:sz="0" w:space="0" w:color="auto"/>
        <w:left w:val="none" w:sz="0" w:space="0" w:color="auto"/>
        <w:bottom w:val="none" w:sz="0" w:space="0" w:color="auto"/>
        <w:right w:val="none" w:sz="0" w:space="0" w:color="auto"/>
      </w:divBdr>
      <w:divsChild>
        <w:div w:id="799957037">
          <w:marLeft w:val="547"/>
          <w:marRight w:val="0"/>
          <w:marTop w:val="0"/>
          <w:marBottom w:val="0"/>
          <w:divBdr>
            <w:top w:val="none" w:sz="0" w:space="0" w:color="auto"/>
            <w:left w:val="none" w:sz="0" w:space="0" w:color="auto"/>
            <w:bottom w:val="none" w:sz="0" w:space="0" w:color="auto"/>
            <w:right w:val="none" w:sz="0" w:space="0" w:color="auto"/>
          </w:divBdr>
        </w:div>
        <w:div w:id="361131350">
          <w:marLeft w:val="547"/>
          <w:marRight w:val="0"/>
          <w:marTop w:val="0"/>
          <w:marBottom w:val="0"/>
          <w:divBdr>
            <w:top w:val="none" w:sz="0" w:space="0" w:color="auto"/>
            <w:left w:val="none" w:sz="0" w:space="0" w:color="auto"/>
            <w:bottom w:val="none" w:sz="0" w:space="0" w:color="auto"/>
            <w:right w:val="none" w:sz="0" w:space="0" w:color="auto"/>
          </w:divBdr>
        </w:div>
      </w:divsChild>
    </w:div>
    <w:div w:id="787967579">
      <w:bodyDiv w:val="1"/>
      <w:marLeft w:val="0"/>
      <w:marRight w:val="0"/>
      <w:marTop w:val="0"/>
      <w:marBottom w:val="0"/>
      <w:divBdr>
        <w:top w:val="none" w:sz="0" w:space="0" w:color="auto"/>
        <w:left w:val="none" w:sz="0" w:space="0" w:color="auto"/>
        <w:bottom w:val="none" w:sz="0" w:space="0" w:color="auto"/>
        <w:right w:val="none" w:sz="0" w:space="0" w:color="auto"/>
      </w:divBdr>
      <w:divsChild>
        <w:div w:id="1867061316">
          <w:marLeft w:val="446"/>
          <w:marRight w:val="0"/>
          <w:marTop w:val="120"/>
          <w:marBottom w:val="120"/>
          <w:divBdr>
            <w:top w:val="none" w:sz="0" w:space="0" w:color="auto"/>
            <w:left w:val="none" w:sz="0" w:space="0" w:color="auto"/>
            <w:bottom w:val="none" w:sz="0" w:space="0" w:color="auto"/>
            <w:right w:val="none" w:sz="0" w:space="0" w:color="auto"/>
          </w:divBdr>
        </w:div>
        <w:div w:id="876430558">
          <w:marLeft w:val="446"/>
          <w:marRight w:val="0"/>
          <w:marTop w:val="120"/>
          <w:marBottom w:val="120"/>
          <w:divBdr>
            <w:top w:val="none" w:sz="0" w:space="0" w:color="auto"/>
            <w:left w:val="none" w:sz="0" w:space="0" w:color="auto"/>
            <w:bottom w:val="none" w:sz="0" w:space="0" w:color="auto"/>
            <w:right w:val="none" w:sz="0" w:space="0" w:color="auto"/>
          </w:divBdr>
        </w:div>
        <w:div w:id="298613823">
          <w:marLeft w:val="446"/>
          <w:marRight w:val="0"/>
          <w:marTop w:val="120"/>
          <w:marBottom w:val="120"/>
          <w:divBdr>
            <w:top w:val="none" w:sz="0" w:space="0" w:color="auto"/>
            <w:left w:val="none" w:sz="0" w:space="0" w:color="auto"/>
            <w:bottom w:val="none" w:sz="0" w:space="0" w:color="auto"/>
            <w:right w:val="none" w:sz="0" w:space="0" w:color="auto"/>
          </w:divBdr>
        </w:div>
      </w:divsChild>
    </w:div>
    <w:div w:id="979723106">
      <w:bodyDiv w:val="1"/>
      <w:marLeft w:val="0"/>
      <w:marRight w:val="0"/>
      <w:marTop w:val="0"/>
      <w:marBottom w:val="0"/>
      <w:divBdr>
        <w:top w:val="none" w:sz="0" w:space="0" w:color="auto"/>
        <w:left w:val="none" w:sz="0" w:space="0" w:color="auto"/>
        <w:bottom w:val="none" w:sz="0" w:space="0" w:color="auto"/>
        <w:right w:val="none" w:sz="0" w:space="0" w:color="auto"/>
      </w:divBdr>
      <w:divsChild>
        <w:div w:id="890191522">
          <w:marLeft w:val="446"/>
          <w:marRight w:val="0"/>
          <w:marTop w:val="0"/>
          <w:marBottom w:val="240"/>
          <w:divBdr>
            <w:top w:val="none" w:sz="0" w:space="0" w:color="auto"/>
            <w:left w:val="none" w:sz="0" w:space="0" w:color="auto"/>
            <w:bottom w:val="none" w:sz="0" w:space="0" w:color="auto"/>
            <w:right w:val="none" w:sz="0" w:space="0" w:color="auto"/>
          </w:divBdr>
        </w:div>
        <w:div w:id="1578130840">
          <w:marLeft w:val="446"/>
          <w:marRight w:val="0"/>
          <w:marTop w:val="0"/>
          <w:marBottom w:val="240"/>
          <w:divBdr>
            <w:top w:val="none" w:sz="0" w:space="0" w:color="auto"/>
            <w:left w:val="none" w:sz="0" w:space="0" w:color="auto"/>
            <w:bottom w:val="none" w:sz="0" w:space="0" w:color="auto"/>
            <w:right w:val="none" w:sz="0" w:space="0" w:color="auto"/>
          </w:divBdr>
        </w:div>
      </w:divsChild>
    </w:div>
    <w:div w:id="1059131201">
      <w:bodyDiv w:val="1"/>
      <w:marLeft w:val="0"/>
      <w:marRight w:val="0"/>
      <w:marTop w:val="0"/>
      <w:marBottom w:val="0"/>
      <w:divBdr>
        <w:top w:val="none" w:sz="0" w:space="0" w:color="auto"/>
        <w:left w:val="none" w:sz="0" w:space="0" w:color="auto"/>
        <w:bottom w:val="none" w:sz="0" w:space="0" w:color="auto"/>
        <w:right w:val="none" w:sz="0" w:space="0" w:color="auto"/>
      </w:divBdr>
    </w:div>
    <w:div w:id="1098327197">
      <w:bodyDiv w:val="1"/>
      <w:marLeft w:val="0"/>
      <w:marRight w:val="0"/>
      <w:marTop w:val="0"/>
      <w:marBottom w:val="0"/>
      <w:divBdr>
        <w:top w:val="none" w:sz="0" w:space="0" w:color="auto"/>
        <w:left w:val="none" w:sz="0" w:space="0" w:color="auto"/>
        <w:bottom w:val="none" w:sz="0" w:space="0" w:color="auto"/>
        <w:right w:val="none" w:sz="0" w:space="0" w:color="auto"/>
      </w:divBdr>
      <w:divsChild>
        <w:div w:id="1118598335">
          <w:marLeft w:val="446"/>
          <w:marRight w:val="0"/>
          <w:marTop w:val="0"/>
          <w:marBottom w:val="0"/>
          <w:divBdr>
            <w:top w:val="none" w:sz="0" w:space="0" w:color="auto"/>
            <w:left w:val="none" w:sz="0" w:space="0" w:color="auto"/>
            <w:bottom w:val="none" w:sz="0" w:space="0" w:color="auto"/>
            <w:right w:val="none" w:sz="0" w:space="0" w:color="auto"/>
          </w:divBdr>
        </w:div>
        <w:div w:id="541988497">
          <w:marLeft w:val="547"/>
          <w:marRight w:val="0"/>
          <w:marTop w:val="0"/>
          <w:marBottom w:val="0"/>
          <w:divBdr>
            <w:top w:val="none" w:sz="0" w:space="0" w:color="auto"/>
            <w:left w:val="none" w:sz="0" w:space="0" w:color="auto"/>
            <w:bottom w:val="none" w:sz="0" w:space="0" w:color="auto"/>
            <w:right w:val="none" w:sz="0" w:space="0" w:color="auto"/>
          </w:divBdr>
        </w:div>
        <w:div w:id="177811573">
          <w:marLeft w:val="547"/>
          <w:marRight w:val="0"/>
          <w:marTop w:val="0"/>
          <w:marBottom w:val="0"/>
          <w:divBdr>
            <w:top w:val="none" w:sz="0" w:space="0" w:color="auto"/>
            <w:left w:val="none" w:sz="0" w:space="0" w:color="auto"/>
            <w:bottom w:val="none" w:sz="0" w:space="0" w:color="auto"/>
            <w:right w:val="none" w:sz="0" w:space="0" w:color="auto"/>
          </w:divBdr>
        </w:div>
        <w:div w:id="838034894">
          <w:marLeft w:val="446"/>
          <w:marRight w:val="0"/>
          <w:marTop w:val="0"/>
          <w:marBottom w:val="0"/>
          <w:divBdr>
            <w:top w:val="none" w:sz="0" w:space="0" w:color="auto"/>
            <w:left w:val="none" w:sz="0" w:space="0" w:color="auto"/>
            <w:bottom w:val="none" w:sz="0" w:space="0" w:color="auto"/>
            <w:right w:val="none" w:sz="0" w:space="0" w:color="auto"/>
          </w:divBdr>
        </w:div>
        <w:div w:id="314845772">
          <w:marLeft w:val="446"/>
          <w:marRight w:val="0"/>
          <w:marTop w:val="0"/>
          <w:marBottom w:val="0"/>
          <w:divBdr>
            <w:top w:val="none" w:sz="0" w:space="0" w:color="auto"/>
            <w:left w:val="none" w:sz="0" w:space="0" w:color="auto"/>
            <w:bottom w:val="none" w:sz="0" w:space="0" w:color="auto"/>
            <w:right w:val="none" w:sz="0" w:space="0" w:color="auto"/>
          </w:divBdr>
        </w:div>
      </w:divsChild>
    </w:div>
    <w:div w:id="1100446314">
      <w:bodyDiv w:val="1"/>
      <w:marLeft w:val="0"/>
      <w:marRight w:val="0"/>
      <w:marTop w:val="0"/>
      <w:marBottom w:val="0"/>
      <w:divBdr>
        <w:top w:val="none" w:sz="0" w:space="0" w:color="auto"/>
        <w:left w:val="none" w:sz="0" w:space="0" w:color="auto"/>
        <w:bottom w:val="none" w:sz="0" w:space="0" w:color="auto"/>
        <w:right w:val="none" w:sz="0" w:space="0" w:color="auto"/>
      </w:divBdr>
    </w:div>
    <w:div w:id="1677221140">
      <w:bodyDiv w:val="1"/>
      <w:marLeft w:val="0"/>
      <w:marRight w:val="0"/>
      <w:marTop w:val="0"/>
      <w:marBottom w:val="0"/>
      <w:divBdr>
        <w:top w:val="none" w:sz="0" w:space="0" w:color="auto"/>
        <w:left w:val="none" w:sz="0" w:space="0" w:color="auto"/>
        <w:bottom w:val="none" w:sz="0" w:space="0" w:color="auto"/>
        <w:right w:val="none" w:sz="0" w:space="0" w:color="auto"/>
      </w:divBdr>
      <w:divsChild>
        <w:div w:id="857739932">
          <w:marLeft w:val="1267"/>
          <w:marRight w:val="0"/>
          <w:marTop w:val="0"/>
          <w:marBottom w:val="240"/>
          <w:divBdr>
            <w:top w:val="none" w:sz="0" w:space="0" w:color="auto"/>
            <w:left w:val="none" w:sz="0" w:space="0" w:color="auto"/>
            <w:bottom w:val="none" w:sz="0" w:space="0" w:color="auto"/>
            <w:right w:val="none" w:sz="0" w:space="0" w:color="auto"/>
          </w:divBdr>
        </w:div>
        <w:div w:id="551815586">
          <w:marLeft w:val="1440"/>
          <w:marRight w:val="0"/>
          <w:marTop w:val="0"/>
          <w:marBottom w:val="240"/>
          <w:divBdr>
            <w:top w:val="none" w:sz="0" w:space="0" w:color="auto"/>
            <w:left w:val="none" w:sz="0" w:space="0" w:color="auto"/>
            <w:bottom w:val="none" w:sz="0" w:space="0" w:color="auto"/>
            <w:right w:val="none" w:sz="0" w:space="0" w:color="auto"/>
          </w:divBdr>
        </w:div>
        <w:div w:id="840243508">
          <w:marLeft w:val="1440"/>
          <w:marRight w:val="0"/>
          <w:marTop w:val="0"/>
          <w:marBottom w:val="240"/>
          <w:divBdr>
            <w:top w:val="none" w:sz="0" w:space="0" w:color="auto"/>
            <w:left w:val="none" w:sz="0" w:space="0" w:color="auto"/>
            <w:bottom w:val="none" w:sz="0" w:space="0" w:color="auto"/>
            <w:right w:val="none" w:sz="0" w:space="0" w:color="auto"/>
          </w:divBdr>
        </w:div>
        <w:div w:id="1123690948">
          <w:marLeft w:val="1440"/>
          <w:marRight w:val="0"/>
          <w:marTop w:val="0"/>
          <w:marBottom w:val="240"/>
          <w:divBdr>
            <w:top w:val="none" w:sz="0" w:space="0" w:color="auto"/>
            <w:left w:val="none" w:sz="0" w:space="0" w:color="auto"/>
            <w:bottom w:val="none" w:sz="0" w:space="0" w:color="auto"/>
            <w:right w:val="none" w:sz="0" w:space="0" w:color="auto"/>
          </w:divBdr>
        </w:div>
      </w:divsChild>
    </w:div>
    <w:div w:id="1796096915">
      <w:bodyDiv w:val="1"/>
      <w:marLeft w:val="0"/>
      <w:marRight w:val="0"/>
      <w:marTop w:val="0"/>
      <w:marBottom w:val="0"/>
      <w:divBdr>
        <w:top w:val="none" w:sz="0" w:space="0" w:color="auto"/>
        <w:left w:val="none" w:sz="0" w:space="0" w:color="auto"/>
        <w:bottom w:val="none" w:sz="0" w:space="0" w:color="auto"/>
        <w:right w:val="none" w:sz="0" w:space="0" w:color="auto"/>
      </w:divBdr>
      <w:divsChild>
        <w:div w:id="650211387">
          <w:marLeft w:val="547"/>
          <w:marRight w:val="0"/>
          <w:marTop w:val="120"/>
          <w:marBottom w:val="120"/>
          <w:divBdr>
            <w:top w:val="none" w:sz="0" w:space="0" w:color="auto"/>
            <w:left w:val="none" w:sz="0" w:space="0" w:color="auto"/>
            <w:bottom w:val="none" w:sz="0" w:space="0" w:color="auto"/>
            <w:right w:val="none" w:sz="0" w:space="0" w:color="auto"/>
          </w:divBdr>
        </w:div>
        <w:div w:id="1813214824">
          <w:marLeft w:val="547"/>
          <w:marRight w:val="0"/>
          <w:marTop w:val="120"/>
          <w:marBottom w:val="120"/>
          <w:divBdr>
            <w:top w:val="none" w:sz="0" w:space="0" w:color="auto"/>
            <w:left w:val="none" w:sz="0" w:space="0" w:color="auto"/>
            <w:bottom w:val="none" w:sz="0" w:space="0" w:color="auto"/>
            <w:right w:val="none" w:sz="0" w:space="0" w:color="auto"/>
          </w:divBdr>
        </w:div>
        <w:div w:id="1016157480">
          <w:marLeft w:val="547"/>
          <w:marRight w:val="0"/>
          <w:marTop w:val="120"/>
          <w:marBottom w:val="120"/>
          <w:divBdr>
            <w:top w:val="none" w:sz="0" w:space="0" w:color="auto"/>
            <w:left w:val="none" w:sz="0" w:space="0" w:color="auto"/>
            <w:bottom w:val="none" w:sz="0" w:space="0" w:color="auto"/>
            <w:right w:val="none" w:sz="0" w:space="0" w:color="auto"/>
          </w:divBdr>
        </w:div>
        <w:div w:id="153491657">
          <w:marLeft w:val="547"/>
          <w:marRight w:val="0"/>
          <w:marTop w:val="120"/>
          <w:marBottom w:val="120"/>
          <w:divBdr>
            <w:top w:val="none" w:sz="0" w:space="0" w:color="auto"/>
            <w:left w:val="none" w:sz="0" w:space="0" w:color="auto"/>
            <w:bottom w:val="none" w:sz="0" w:space="0" w:color="auto"/>
            <w:right w:val="none" w:sz="0" w:space="0" w:color="auto"/>
          </w:divBdr>
        </w:div>
      </w:divsChild>
    </w:div>
    <w:div w:id="1838111530">
      <w:bodyDiv w:val="1"/>
      <w:marLeft w:val="0"/>
      <w:marRight w:val="0"/>
      <w:marTop w:val="0"/>
      <w:marBottom w:val="0"/>
      <w:divBdr>
        <w:top w:val="none" w:sz="0" w:space="0" w:color="auto"/>
        <w:left w:val="none" w:sz="0" w:space="0" w:color="auto"/>
        <w:bottom w:val="none" w:sz="0" w:space="0" w:color="auto"/>
        <w:right w:val="none" w:sz="0" w:space="0" w:color="auto"/>
      </w:divBdr>
    </w:div>
    <w:div w:id="1861309859">
      <w:bodyDiv w:val="1"/>
      <w:marLeft w:val="0"/>
      <w:marRight w:val="0"/>
      <w:marTop w:val="0"/>
      <w:marBottom w:val="0"/>
      <w:divBdr>
        <w:top w:val="none" w:sz="0" w:space="0" w:color="auto"/>
        <w:left w:val="none" w:sz="0" w:space="0" w:color="auto"/>
        <w:bottom w:val="none" w:sz="0" w:space="0" w:color="auto"/>
        <w:right w:val="none" w:sz="0" w:space="0" w:color="auto"/>
      </w:divBdr>
    </w:div>
    <w:div w:id="200477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2591</TotalTime>
  <Pages>14</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Doan</dc:creator>
  <cp:keywords/>
  <dc:description/>
  <cp:lastModifiedBy>Hanh, Mai Nguyen Hanh (CS-CT)</cp:lastModifiedBy>
  <cp:revision>70</cp:revision>
  <cp:lastPrinted>2025-09-18T05:09:00Z</cp:lastPrinted>
  <dcterms:created xsi:type="dcterms:W3CDTF">2025-09-11T09:04:00Z</dcterms:created>
  <dcterms:modified xsi:type="dcterms:W3CDTF">2025-09-19T05:37:00Z</dcterms:modified>
</cp:coreProperties>
</file>